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napToGrid w:val="0"/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3"/>
        <w:tblW w:w="130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808"/>
        <w:gridCol w:w="3751"/>
        <w:gridCol w:w="2552"/>
        <w:gridCol w:w="1763"/>
        <w:gridCol w:w="216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30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2020年广东省促进经济高质量发展专项资金（金融发展）</w:t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40"/>
                <w:szCs w:val="40"/>
              </w:rPr>
              <w:t>省级项目情况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类别</w:t>
            </w: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申报单位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项目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拟分配金额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（万元）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金融发展</w:t>
            </w: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广东省中小企业融资平台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1435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按政务信息化服务项目进行资金的管理使用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防控风险</w:t>
            </w: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广州商品清算中心股份有限公司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金鹰系统优化提升建设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金融发展</w:t>
            </w: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广东股权交易中心股份有限公司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区域性股权市场特色板块优化提升建设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金融研究</w:t>
            </w:r>
          </w:p>
        </w:tc>
        <w:tc>
          <w:tcPr>
            <w:tcW w:w="3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省地方金融监管局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“十四五”广东金融业改革发展规划课题研究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合计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3435</w:t>
            </w:r>
          </w:p>
        </w:tc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napToGrid w:val="0"/>
        <w:jc w:val="left"/>
        <w:rPr>
          <w:rFonts w:ascii="STZhongsong" w:hAnsi="STZhongsong" w:eastAsia="STZhongsong" w:cs="STZhongsong"/>
          <w:b/>
          <w:bCs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936BF"/>
    <w:rsid w:val="023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2019-12-09T01:13:00Z</dcterms:created>
  <dc:creator>刘明</dc:creator>
  <cp:lastModifiedBy>刘明</cp:lastModifiedBy>
  <dcterms:modified xsi:type="dcterms:W3CDTF">2019-12-09T01:16:55Z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