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STZhongsong"/>
          <w:sz w:val="32"/>
          <w:szCs w:val="32"/>
        </w:rPr>
      </w:pPr>
      <w:r>
        <w:rPr>
          <w:rFonts w:hint="eastAsia" w:ascii="黑体" w:hAnsi="黑体" w:eastAsia="黑体" w:cs="STZhongsong"/>
          <w:sz w:val="32"/>
          <w:szCs w:val="32"/>
        </w:rPr>
        <w:t>附件</w:t>
      </w:r>
      <w:r>
        <w:rPr>
          <w:rFonts w:ascii="黑体" w:hAnsi="黑体" w:eastAsia="黑体" w:cs="STZhongsong"/>
          <w:sz w:val="32"/>
          <w:szCs w:val="32"/>
        </w:rPr>
        <w:t>2</w:t>
      </w:r>
    </w:p>
    <w:tbl>
      <w:tblPr>
        <w:tblStyle w:val="3"/>
        <w:tblW w:w="1420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405"/>
        <w:gridCol w:w="791"/>
        <w:gridCol w:w="9938"/>
        <w:gridCol w:w="1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9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2020年广东省促进经济高质量发展专项资金（金融发展）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地市</w:t>
            </w:r>
            <w:bookmarkStart w:id="0" w:name="_Hlk25048254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特色金融发展专项情况</w:t>
            </w:r>
            <w:bookmarkEnd w:id="1"/>
            <w:bookmarkEnd w:id="0"/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特色定位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地市</w:t>
            </w:r>
          </w:p>
        </w:tc>
        <w:tc>
          <w:tcPr>
            <w:tcW w:w="9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任务清单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拟分配金额（万元）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区域金融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中心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广州</w:t>
            </w:r>
          </w:p>
        </w:tc>
        <w:tc>
          <w:tcPr>
            <w:tcW w:w="9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1.推进解决中小企业融资难、融资贵问题，推广应用“广东省中小企业融资平台”；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2.推进绿色金融改革创新试验区建设，降低绿色企业和绿色项目融资成本，助力企业转型升级和绿色发展，带动绿色发展示范效应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普惠金融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茂名</w:t>
            </w:r>
          </w:p>
        </w:tc>
        <w:tc>
          <w:tcPr>
            <w:tcW w:w="9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1.推进解决中小企业融资难、融资贵问题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推广应用“广东省中小企业融资平台”；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2.加强金融服务中小微企业，对中小微企业增信融资进行政策性奖补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产业金融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惠州</w:t>
            </w:r>
          </w:p>
        </w:tc>
        <w:tc>
          <w:tcPr>
            <w:tcW w:w="9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1.推进解决中小企业融资难、融资贵问题，推广应用“广东省中小企业融资平台”；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2.支持供应链金融服务平台建设，助力中小微企业应收账款融资；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3.开展涉农保险试点，探索建立农业补贴、涉农信贷、农产品期货（权）和农业保险联动机制，形成金融支农综合体系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民间金融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阳江</w:t>
            </w:r>
          </w:p>
        </w:tc>
        <w:tc>
          <w:tcPr>
            <w:tcW w:w="9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1.推进解决中小企业融资难、融资贵问题，推广应用“广东省中小企业融资平台”；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2.对促进金融服务实体经济发展项目进行奖补，进一步增强金融服务实体经济的能力和效果；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3.开展涉农保险试点，探索建立农业补贴、涉农信贷、农产品期货（权）和农业保险联动机制，形成金融支农综合体系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1965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4912"/>
    <w:rsid w:val="10E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2019-12-09T01:13:00Z</dcterms:created>
  <dc:creator>刘明</dc:creator>
  <cp:lastModifiedBy>刘明</cp:lastModifiedBy>
  <dcterms:modified xsi:type="dcterms:W3CDTF">2019-12-09T01:16:25Z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