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27" w:type="dxa"/>
        <w:tblLayout w:type="fixed"/>
        <w:tblCellMar>
          <w:top w:w="15" w:type="dxa"/>
          <w:left w:w="15" w:type="dxa"/>
          <w:bottom w:w="15" w:type="dxa"/>
          <w:right w:w="15" w:type="dxa"/>
        </w:tblCellMar>
        <w:tblLook w:val="04A0" w:firstRow="1" w:lastRow="0" w:firstColumn="1" w:lastColumn="0" w:noHBand="0" w:noVBand="1"/>
      </w:tblPr>
      <w:tblGrid>
        <w:gridCol w:w="1715"/>
        <w:gridCol w:w="551"/>
        <w:gridCol w:w="1316"/>
        <w:gridCol w:w="753"/>
        <w:gridCol w:w="1620"/>
        <w:gridCol w:w="3249"/>
        <w:gridCol w:w="23"/>
      </w:tblGrid>
      <w:tr w:rsidR="0012116E">
        <w:trPr>
          <w:trHeight w:val="516"/>
        </w:trPr>
        <w:tc>
          <w:tcPr>
            <w:tcW w:w="9227" w:type="dxa"/>
            <w:gridSpan w:val="7"/>
            <w:vAlign w:val="center"/>
          </w:tcPr>
          <w:p w:rsidR="004E1F36" w:rsidRDefault="004E1F36" w:rsidP="004E1F36">
            <w:pPr>
              <w:pStyle w:val="1"/>
              <w:ind w:firstLineChars="0" w:firstLine="0"/>
            </w:pPr>
            <w:r>
              <w:rPr>
                <w:rFonts w:hint="eastAsia"/>
              </w:rPr>
              <w:t>广东省促进经济高质量发展（金融发展）专项资金</w:t>
            </w:r>
          </w:p>
          <w:p w:rsidR="004E1F36" w:rsidRDefault="004E1F36" w:rsidP="004E1F36">
            <w:pPr>
              <w:pStyle w:val="1"/>
              <w:ind w:firstLineChars="0" w:firstLine="0"/>
            </w:pPr>
            <w:r>
              <w:rPr>
                <w:rFonts w:hint="eastAsia"/>
              </w:rPr>
              <w:t>绩效目标</w:t>
            </w:r>
            <w:bookmarkStart w:id="0" w:name="_Toc24278468"/>
            <w:r>
              <w:rPr>
                <w:rFonts w:hint="eastAsia"/>
              </w:rPr>
              <w:t>表</w:t>
            </w:r>
            <w:bookmarkEnd w:id="0"/>
          </w:p>
          <w:p w:rsidR="0012116E" w:rsidRDefault="004E1F36" w:rsidP="004E1F36">
            <w:pPr>
              <w:pStyle w:val="0"/>
              <w:spacing w:line="620" w:lineRule="exact"/>
              <w:ind w:firstLineChars="0" w:firstLine="0"/>
              <w:jc w:val="center"/>
              <w:rPr>
                <w:rFonts w:ascii="方正小标宋简体" w:eastAsia="方正小标宋简体" w:hAnsi="方正小标宋简体" w:cs="方正小标宋简体"/>
                <w:color w:val="000000"/>
              </w:rPr>
            </w:pPr>
            <w:r>
              <w:rPr>
                <w:rFonts w:ascii="楷体_GB2312" w:eastAsia="楷体_GB2312" w:hint="eastAsia"/>
                <w:sz w:val="30"/>
                <w:szCs w:val="30"/>
              </w:rPr>
              <w:t>（2020年）</w:t>
            </w:r>
          </w:p>
        </w:tc>
      </w:tr>
      <w:tr w:rsidR="0012116E">
        <w:trPr>
          <w:trHeight w:val="220"/>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项目名称</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茂名市提升金融服务实体经济水平专项资金</w:t>
            </w:r>
          </w:p>
        </w:tc>
      </w:tr>
      <w:tr w:rsidR="0012116E">
        <w:trPr>
          <w:trHeight w:val="220"/>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资金类型</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省级财政专项资金</w:t>
            </w:r>
          </w:p>
        </w:tc>
      </w:tr>
      <w:tr w:rsidR="0012116E">
        <w:trPr>
          <w:trHeight w:val="220"/>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项目等级</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二级项目</w:t>
            </w:r>
          </w:p>
        </w:tc>
      </w:tr>
      <w:tr w:rsidR="0012116E">
        <w:trPr>
          <w:trHeight w:val="220"/>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省级主管部门</w:t>
            </w:r>
          </w:p>
        </w:tc>
        <w:tc>
          <w:tcPr>
            <w:tcW w:w="2620" w:type="dxa"/>
            <w:gridSpan w:val="3"/>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广东省地方金融监管局</w:t>
            </w:r>
          </w:p>
        </w:tc>
        <w:tc>
          <w:tcPr>
            <w:tcW w:w="1620"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地方主管部门</w:t>
            </w:r>
          </w:p>
        </w:tc>
        <w:tc>
          <w:tcPr>
            <w:tcW w:w="3272" w:type="dxa"/>
            <w:gridSpan w:val="2"/>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茂名市金融工作局</w:t>
            </w:r>
          </w:p>
        </w:tc>
      </w:tr>
      <w:tr w:rsidR="0012116E">
        <w:trPr>
          <w:trHeight w:val="220"/>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预算年度</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2020</w:t>
            </w:r>
            <w:r>
              <w:rPr>
                <w:rFonts w:ascii="仿宋_GB2312" w:eastAsia="仿宋_GB2312" w:hAnsi="仿宋_GB2312" w:cs="仿宋_GB2312" w:hint="eastAsia"/>
                <w:color w:val="000000"/>
                <w:sz w:val="24"/>
              </w:rPr>
              <w:t>年，不跨年</w:t>
            </w:r>
          </w:p>
        </w:tc>
      </w:tr>
      <w:tr w:rsidR="0012116E">
        <w:trPr>
          <w:trHeight w:val="220"/>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资金需求</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Style w:val="font11"/>
                <w:rFonts w:ascii="仿宋_GB2312" w:eastAsia="仿宋_GB2312"/>
                <w:sz w:val="24"/>
                <w:szCs w:val="24"/>
              </w:rPr>
              <w:t>300</w:t>
            </w:r>
            <w:r>
              <w:rPr>
                <w:rStyle w:val="font11"/>
                <w:rFonts w:ascii="仿宋_GB2312" w:eastAsia="仿宋_GB2312" w:hint="eastAsia"/>
                <w:sz w:val="24"/>
                <w:szCs w:val="24"/>
              </w:rPr>
              <w:t>万</w:t>
            </w:r>
          </w:p>
        </w:tc>
      </w:tr>
      <w:tr w:rsidR="0012116E">
        <w:trPr>
          <w:trHeight w:val="283"/>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支出内容</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用于推广应用“广东省中小企业融资平台”、支持小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增信融资和中小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转贷资金日常运营管理过程中所产生的印刷费、租赁费、差旅费、委托业务费、劳务费、专用材料费以及其他商品和服务支出等费用</w:t>
            </w:r>
          </w:p>
        </w:tc>
      </w:tr>
      <w:tr w:rsidR="0012116E">
        <w:trPr>
          <w:trHeight w:val="315"/>
        </w:trPr>
        <w:tc>
          <w:tcPr>
            <w:tcW w:w="1715"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政策依据</w:t>
            </w:r>
          </w:p>
        </w:tc>
        <w:tc>
          <w:tcPr>
            <w:tcW w:w="7512" w:type="dxa"/>
            <w:gridSpan w:val="6"/>
            <w:tcBorders>
              <w:top w:val="single" w:sz="4" w:space="0" w:color="000000"/>
              <w:left w:val="single" w:sz="4" w:space="0" w:color="000000"/>
              <w:bottom w:val="single" w:sz="4" w:space="0" w:color="000000"/>
              <w:right w:val="single" w:sz="4" w:space="0" w:color="000000"/>
            </w:tcBorders>
            <w:vAlign w:val="center"/>
          </w:tcPr>
          <w:p w:rsidR="0012116E" w:rsidRDefault="004E1F36">
            <w:pPr>
              <w:pStyle w:val="a7"/>
              <w:widowControl/>
              <w:spacing w:line="560" w:lineRule="exact"/>
              <w:jc w:val="both"/>
              <w:rPr>
                <w:rFonts w:ascii="仿宋_GB2312" w:eastAsia="仿宋_GB2312" w:hAnsi="仿宋" w:cs="仿宋"/>
              </w:rPr>
            </w:pPr>
            <w:r>
              <w:rPr>
                <w:rFonts w:ascii="仿宋_GB2312" w:eastAsia="仿宋_GB2312" w:hAnsi="仿宋"/>
              </w:rPr>
              <w:t>1.</w:t>
            </w:r>
            <w:r>
              <w:rPr>
                <w:rFonts w:ascii="仿宋_GB2312" w:eastAsia="仿宋_GB2312" w:hAnsi="仿宋" w:cs="仿宋" w:hint="eastAsia"/>
              </w:rPr>
              <w:t>《广东省省级财政专项资金管理办法（试行）》（粤府〔</w:t>
            </w:r>
            <w:r>
              <w:rPr>
                <w:rFonts w:ascii="仿宋_GB2312" w:eastAsia="仿宋_GB2312" w:hAnsi="仿宋" w:cs="仿宋"/>
              </w:rPr>
              <w:t>2018</w:t>
            </w:r>
            <w:r>
              <w:rPr>
                <w:rFonts w:ascii="仿宋_GB2312" w:eastAsia="仿宋_GB2312" w:hAnsi="仿宋" w:cs="仿宋" w:hint="eastAsia"/>
              </w:rPr>
              <w:t>〕</w:t>
            </w:r>
            <w:r>
              <w:rPr>
                <w:rFonts w:ascii="仿宋_GB2312" w:eastAsia="仿宋_GB2312" w:hAnsi="仿宋" w:cs="仿宋"/>
              </w:rPr>
              <w:t>120</w:t>
            </w:r>
            <w:r>
              <w:rPr>
                <w:rFonts w:ascii="仿宋_GB2312" w:eastAsia="仿宋_GB2312" w:hAnsi="仿宋" w:cs="仿宋" w:hint="eastAsia"/>
              </w:rPr>
              <w:t>号）</w:t>
            </w:r>
          </w:p>
          <w:p w:rsidR="0012116E" w:rsidRDefault="004E1F36">
            <w:pPr>
              <w:pStyle w:val="a7"/>
              <w:widowControl/>
              <w:spacing w:line="560" w:lineRule="exact"/>
              <w:jc w:val="both"/>
              <w:rPr>
                <w:rFonts w:ascii="仿宋_GB2312" w:eastAsia="仿宋_GB2312" w:hAnsi="仿宋" w:cs="仿宋"/>
              </w:rPr>
            </w:pPr>
            <w:r>
              <w:rPr>
                <w:rFonts w:ascii="仿宋_GB2312" w:eastAsia="仿宋_GB2312" w:hAnsi="仿宋" w:cs="仿宋"/>
              </w:rPr>
              <w:t>2.</w:t>
            </w:r>
            <w:r>
              <w:rPr>
                <w:rFonts w:ascii="仿宋_GB2312" w:eastAsia="仿宋_GB2312" w:hAnsi="仿宋" w:cs="仿宋" w:hint="eastAsia"/>
              </w:rPr>
              <w:t>《广东省省级预算执行监督管理办法》（粤财预〔</w:t>
            </w:r>
            <w:r>
              <w:rPr>
                <w:rFonts w:ascii="仿宋_GB2312" w:eastAsia="仿宋_GB2312" w:hAnsi="仿宋" w:cs="仿宋"/>
              </w:rPr>
              <w:t>2019</w:t>
            </w:r>
            <w:r>
              <w:rPr>
                <w:rFonts w:ascii="仿宋_GB2312" w:eastAsia="仿宋_GB2312" w:hAnsi="仿宋" w:cs="仿宋" w:hint="eastAsia"/>
              </w:rPr>
              <w:t>〕</w:t>
            </w:r>
            <w:r>
              <w:rPr>
                <w:rFonts w:ascii="仿宋_GB2312" w:eastAsia="仿宋_GB2312" w:hAnsi="仿宋" w:cs="仿宋"/>
              </w:rPr>
              <w:t>94</w:t>
            </w:r>
            <w:r>
              <w:rPr>
                <w:rFonts w:ascii="仿宋_GB2312" w:eastAsia="仿宋_GB2312" w:hAnsi="仿宋" w:cs="仿宋" w:hint="eastAsia"/>
              </w:rPr>
              <w:t>号）</w:t>
            </w:r>
          </w:p>
          <w:p w:rsidR="0012116E" w:rsidRDefault="004E1F36">
            <w:pPr>
              <w:pStyle w:val="a7"/>
              <w:widowControl/>
              <w:spacing w:line="560" w:lineRule="exact"/>
              <w:jc w:val="both"/>
              <w:rPr>
                <w:rFonts w:ascii="仿宋_GB2312" w:eastAsia="仿宋_GB2312" w:hAnsi="仿宋" w:cs="仿宋"/>
              </w:rPr>
            </w:pPr>
            <w:r>
              <w:rPr>
                <w:rFonts w:ascii="仿宋_GB2312" w:eastAsia="仿宋_GB2312" w:hAnsi="仿宋" w:cs="仿宋"/>
              </w:rPr>
              <w:t>3.</w:t>
            </w:r>
            <w:r>
              <w:rPr>
                <w:rFonts w:ascii="仿宋_GB2312" w:eastAsia="仿宋_GB2312" w:hAnsi="仿宋" w:cs="仿宋" w:hint="eastAsia"/>
              </w:rPr>
              <w:t>《广东省促进经济高质量发展专项资金（金融发展）管理办法》（粤财金〔</w:t>
            </w:r>
            <w:r>
              <w:rPr>
                <w:rFonts w:ascii="仿宋_GB2312" w:eastAsia="仿宋_GB2312" w:hAnsi="仿宋" w:cs="仿宋"/>
              </w:rPr>
              <w:t>2019</w:t>
            </w:r>
            <w:r>
              <w:rPr>
                <w:rFonts w:ascii="仿宋_GB2312" w:eastAsia="仿宋_GB2312" w:hAnsi="仿宋" w:cs="仿宋" w:hint="eastAsia"/>
              </w:rPr>
              <w:t>〕</w:t>
            </w:r>
            <w:r>
              <w:rPr>
                <w:rFonts w:ascii="仿宋_GB2312" w:eastAsia="仿宋_GB2312" w:hAnsi="仿宋" w:cs="仿宋"/>
              </w:rPr>
              <w:t>43</w:t>
            </w:r>
            <w:r>
              <w:rPr>
                <w:rFonts w:ascii="仿宋_GB2312" w:eastAsia="仿宋_GB2312" w:hAnsi="仿宋" w:cs="仿宋" w:hint="eastAsia"/>
              </w:rPr>
              <w:t>号）</w:t>
            </w:r>
          </w:p>
          <w:p w:rsidR="0012116E" w:rsidRDefault="004E1F36">
            <w:pPr>
              <w:pStyle w:val="a7"/>
              <w:widowControl/>
              <w:spacing w:line="560" w:lineRule="exact"/>
              <w:jc w:val="both"/>
              <w:rPr>
                <w:rFonts w:ascii="仿宋_GB2312" w:eastAsia="仿宋_GB2312" w:hAnsi="仿宋" w:cs="仿宋"/>
              </w:rPr>
            </w:pPr>
            <w:r>
              <w:rPr>
                <w:rFonts w:ascii="仿宋_GB2312" w:eastAsia="仿宋_GB2312" w:hAnsi="仿宋" w:cs="仿宋"/>
              </w:rPr>
              <w:t>4.</w:t>
            </w:r>
            <w:r>
              <w:rPr>
                <w:rFonts w:ascii="仿宋_GB2312" w:eastAsia="仿宋_GB2312" w:hAnsi="仿宋" w:cs="仿宋" w:hint="eastAsia"/>
              </w:rPr>
              <w:t>《广东省省级财政资金项目库管理办法（试行）》（粤财预〔</w:t>
            </w:r>
            <w:r>
              <w:rPr>
                <w:rFonts w:ascii="仿宋_GB2312" w:eastAsia="仿宋_GB2312" w:hAnsi="仿宋" w:cs="仿宋"/>
              </w:rPr>
              <w:t>2018</w:t>
            </w:r>
            <w:r>
              <w:rPr>
                <w:rFonts w:ascii="仿宋_GB2312" w:eastAsia="仿宋_GB2312" w:hAnsi="仿宋" w:cs="仿宋" w:hint="eastAsia"/>
              </w:rPr>
              <w:t>〕</w:t>
            </w:r>
            <w:r>
              <w:rPr>
                <w:rFonts w:ascii="仿宋_GB2312" w:eastAsia="仿宋_GB2312" w:hAnsi="仿宋" w:cs="仿宋"/>
              </w:rPr>
              <w:t>263</w:t>
            </w:r>
            <w:r>
              <w:rPr>
                <w:rFonts w:ascii="仿宋_GB2312" w:eastAsia="仿宋_GB2312" w:hAnsi="仿宋" w:cs="仿宋" w:hint="eastAsia"/>
              </w:rPr>
              <w:t>号）</w:t>
            </w:r>
          </w:p>
          <w:p w:rsidR="0012116E" w:rsidRDefault="004E1F36">
            <w:pPr>
              <w:pStyle w:val="a7"/>
              <w:widowControl/>
              <w:spacing w:line="560" w:lineRule="exact"/>
              <w:jc w:val="both"/>
              <w:rPr>
                <w:rFonts w:ascii="仿宋_GB2312" w:eastAsia="仿宋_GB2312" w:hAnsi="仿宋" w:cs="仿宋"/>
              </w:rPr>
            </w:pPr>
            <w:r>
              <w:rPr>
                <w:rFonts w:ascii="仿宋_GB2312" w:eastAsia="仿宋_GB2312" w:hAnsi="仿宋" w:cs="仿宋"/>
              </w:rPr>
              <w:t>5.</w:t>
            </w:r>
            <w:r>
              <w:rPr>
                <w:rFonts w:ascii="仿宋_GB2312" w:eastAsia="仿宋_GB2312" w:hAnsi="仿宋" w:cs="仿宋" w:hint="eastAsia"/>
              </w:rPr>
              <w:t>《关于做好</w:t>
            </w:r>
            <w:r>
              <w:rPr>
                <w:rFonts w:ascii="仿宋_GB2312" w:eastAsia="仿宋_GB2312" w:hAnsi="仿宋" w:cs="仿宋"/>
              </w:rPr>
              <w:t>2020</w:t>
            </w:r>
            <w:r>
              <w:rPr>
                <w:rFonts w:ascii="仿宋_GB2312" w:eastAsia="仿宋_GB2312" w:hAnsi="仿宋" w:cs="仿宋" w:hint="eastAsia"/>
              </w:rPr>
              <w:t>年省级专项资金项目入库储备工作的通知》（粤</w:t>
            </w:r>
            <w:proofErr w:type="gramStart"/>
            <w:r>
              <w:rPr>
                <w:rFonts w:ascii="仿宋_GB2312" w:eastAsia="仿宋_GB2312" w:hAnsi="仿宋" w:cs="仿宋" w:hint="eastAsia"/>
              </w:rPr>
              <w:t>财预函〔</w:t>
            </w:r>
            <w:r>
              <w:rPr>
                <w:rFonts w:ascii="仿宋_GB2312" w:eastAsia="仿宋_GB2312" w:hAnsi="仿宋" w:cs="仿宋"/>
              </w:rPr>
              <w:t>2019</w:t>
            </w:r>
            <w:r>
              <w:rPr>
                <w:rFonts w:ascii="仿宋_GB2312" w:eastAsia="仿宋_GB2312" w:hAnsi="仿宋" w:cs="仿宋" w:hint="eastAsia"/>
              </w:rPr>
              <w:t>〕</w:t>
            </w:r>
            <w:proofErr w:type="gramEnd"/>
            <w:r>
              <w:rPr>
                <w:rFonts w:ascii="仿宋_GB2312" w:eastAsia="仿宋_GB2312" w:hAnsi="仿宋" w:cs="仿宋"/>
              </w:rPr>
              <w:t>70</w:t>
            </w:r>
            <w:r>
              <w:rPr>
                <w:rFonts w:ascii="仿宋_GB2312" w:eastAsia="仿宋_GB2312" w:hAnsi="仿宋" w:cs="仿宋" w:hint="eastAsia"/>
              </w:rPr>
              <w:t>号）</w:t>
            </w:r>
          </w:p>
          <w:p w:rsidR="0012116E" w:rsidRDefault="004E1F36">
            <w:pPr>
              <w:pStyle w:val="a7"/>
              <w:widowControl/>
              <w:spacing w:line="560" w:lineRule="exact"/>
              <w:jc w:val="both"/>
              <w:rPr>
                <w:rFonts w:ascii="仿宋_GB2312" w:eastAsia="仿宋_GB2312" w:hAnsi="仿宋"/>
              </w:rPr>
            </w:pPr>
            <w:r>
              <w:rPr>
                <w:rFonts w:ascii="仿宋_GB2312" w:eastAsia="仿宋_GB2312" w:hAnsi="仿宋" w:cs="仿宋"/>
              </w:rPr>
              <w:t>6.</w:t>
            </w:r>
            <w:r>
              <w:rPr>
                <w:rFonts w:ascii="仿宋_GB2312" w:eastAsia="仿宋_GB2312" w:hAnsi="仿宋" w:hint="eastAsia"/>
              </w:rPr>
              <w:t>《中共广东省委</w:t>
            </w:r>
            <w:r>
              <w:rPr>
                <w:rFonts w:ascii="仿宋_GB2312" w:eastAsia="仿宋_GB2312" w:hAnsi="仿宋"/>
              </w:rPr>
              <w:t xml:space="preserve"> </w:t>
            </w:r>
            <w:r>
              <w:rPr>
                <w:rFonts w:ascii="仿宋_GB2312" w:eastAsia="仿宋_GB2312" w:hAnsi="仿宋" w:hint="eastAsia"/>
              </w:rPr>
              <w:t>广东省人民政府关于服务实体经济防控金融风险深化金融改革的实施意见》（粤发【</w:t>
            </w:r>
            <w:r>
              <w:rPr>
                <w:rFonts w:ascii="仿宋_GB2312" w:eastAsia="仿宋_GB2312" w:hAnsi="仿宋"/>
              </w:rPr>
              <w:t>2018</w:t>
            </w:r>
            <w:r>
              <w:rPr>
                <w:rFonts w:ascii="仿宋_GB2312" w:eastAsia="仿宋_GB2312" w:hAnsi="仿宋" w:hint="eastAsia"/>
              </w:rPr>
              <w:t>】</w:t>
            </w:r>
            <w:r>
              <w:rPr>
                <w:rFonts w:ascii="仿宋_GB2312" w:eastAsia="仿宋_GB2312" w:hAnsi="仿宋"/>
              </w:rPr>
              <w:t>4</w:t>
            </w:r>
            <w:r>
              <w:rPr>
                <w:rFonts w:ascii="仿宋_GB2312" w:eastAsia="仿宋_GB2312" w:hAnsi="仿宋" w:hint="eastAsia"/>
              </w:rPr>
              <w:t>号）</w:t>
            </w:r>
          </w:p>
          <w:p w:rsidR="0012116E" w:rsidRDefault="004E1F36">
            <w:pPr>
              <w:pStyle w:val="a7"/>
              <w:widowControl/>
              <w:spacing w:line="560" w:lineRule="exact"/>
              <w:jc w:val="both"/>
              <w:rPr>
                <w:rFonts w:ascii="仿宋_GB2312" w:eastAsia="仿宋_GB2312" w:hAnsi="仿宋"/>
              </w:rPr>
            </w:pPr>
            <w:r>
              <w:rPr>
                <w:rFonts w:ascii="仿宋_GB2312" w:eastAsia="仿宋_GB2312" w:hAnsi="仿宋"/>
              </w:rPr>
              <w:t>7.</w:t>
            </w:r>
            <w:r>
              <w:rPr>
                <w:rFonts w:ascii="仿宋_GB2312" w:eastAsia="仿宋_GB2312" w:hAnsi="仿宋" w:hint="eastAsia"/>
              </w:rPr>
              <w:t>《中共茂名市委、茂名市人民政府关于服务实体经济防控金融风险深化金融改革的实施意见》（茂发【</w:t>
            </w:r>
            <w:r>
              <w:rPr>
                <w:rFonts w:ascii="仿宋_GB2312" w:eastAsia="仿宋_GB2312" w:hAnsi="仿宋"/>
              </w:rPr>
              <w:t>2018</w:t>
            </w:r>
            <w:r>
              <w:rPr>
                <w:rFonts w:ascii="仿宋_GB2312" w:eastAsia="仿宋_GB2312" w:hAnsi="仿宋" w:hint="eastAsia"/>
              </w:rPr>
              <w:t>】</w:t>
            </w:r>
            <w:r>
              <w:rPr>
                <w:rFonts w:ascii="仿宋_GB2312" w:eastAsia="仿宋_GB2312" w:hAnsi="仿宋"/>
              </w:rPr>
              <w:t>10</w:t>
            </w:r>
            <w:r>
              <w:rPr>
                <w:rFonts w:ascii="仿宋_GB2312" w:eastAsia="仿宋_GB2312" w:hAnsi="仿宋" w:hint="eastAsia"/>
              </w:rPr>
              <w:t>号）</w:t>
            </w:r>
          </w:p>
        </w:tc>
      </w:tr>
      <w:tr w:rsidR="0012116E">
        <w:trPr>
          <w:trHeight w:val="414"/>
        </w:trPr>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阶段性绩效目标（项目实施计划）</w:t>
            </w:r>
          </w:p>
        </w:tc>
        <w:tc>
          <w:tcPr>
            <w:tcW w:w="1867" w:type="dxa"/>
            <w:gridSpan w:val="2"/>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第二季度</w:t>
            </w:r>
          </w:p>
        </w:tc>
        <w:tc>
          <w:tcPr>
            <w:tcW w:w="5645" w:type="dxa"/>
            <w:gridSpan w:val="4"/>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textAlignment w:val="center"/>
              <w:rPr>
                <w:rFonts w:ascii="仿宋_GB2312" w:eastAsia="仿宋_GB2312" w:hAnsi="仿宋_GB2312" w:cs="仿宋_GB2312"/>
                <w:color w:val="000000"/>
                <w:sz w:val="24"/>
              </w:rPr>
            </w:pPr>
            <w:r>
              <w:rPr>
                <w:rFonts w:ascii="仿宋_GB2312" w:eastAsia="仿宋_GB2312" w:hAnsi="宋体" w:cs="宋体" w:hint="eastAsia"/>
                <w:sz w:val="24"/>
              </w:rPr>
              <w:t>完成担保金额</w:t>
            </w:r>
            <w:r>
              <w:rPr>
                <w:rFonts w:ascii="仿宋_GB2312" w:eastAsia="仿宋_GB2312" w:hAnsi="??_GB2312" w:cs="??_GB2312"/>
                <w:sz w:val="24"/>
              </w:rPr>
              <w:t>6000</w:t>
            </w:r>
            <w:r>
              <w:rPr>
                <w:rFonts w:ascii="仿宋_GB2312" w:eastAsia="仿宋_GB2312" w:hAnsi="宋体" w:cs="宋体" w:hint="eastAsia"/>
                <w:sz w:val="24"/>
              </w:rPr>
              <w:t>万元；</w:t>
            </w:r>
            <w:r>
              <w:rPr>
                <w:rFonts w:ascii="仿宋_GB2312" w:eastAsia="仿宋_GB2312" w:hAnsi="仿宋_GB2312" w:cs="仿宋_GB2312" w:hint="eastAsia"/>
                <w:color w:val="000000"/>
                <w:sz w:val="24"/>
              </w:rPr>
              <w:t>中小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转贷资金正常运营</w:t>
            </w:r>
          </w:p>
        </w:tc>
      </w:tr>
      <w:tr w:rsidR="0012116E">
        <w:trPr>
          <w:trHeight w:val="414"/>
        </w:trPr>
        <w:tc>
          <w:tcPr>
            <w:tcW w:w="1715" w:type="dxa"/>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867" w:type="dxa"/>
            <w:gridSpan w:val="2"/>
            <w:tcBorders>
              <w:top w:val="single" w:sz="4" w:space="0" w:color="000000"/>
              <w:left w:val="single" w:sz="4" w:space="0" w:color="000000"/>
              <w:bottom w:val="single" w:sz="4" w:space="0" w:color="000000"/>
            </w:tcBorders>
            <w:vAlign w:val="center"/>
          </w:tcPr>
          <w:p w:rsidR="0012116E" w:rsidRDefault="004E1F36">
            <w:pPr>
              <w:widowControl/>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第三季度</w:t>
            </w:r>
          </w:p>
        </w:tc>
        <w:tc>
          <w:tcPr>
            <w:tcW w:w="5645" w:type="dxa"/>
            <w:gridSpan w:val="4"/>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完成担保金额</w:t>
            </w:r>
            <w:r>
              <w:rPr>
                <w:rFonts w:ascii="仿宋_GB2312" w:eastAsia="仿宋_GB2312" w:hAnsi="仿宋_GB2312" w:cs="仿宋_GB2312"/>
                <w:color w:val="000000"/>
                <w:sz w:val="24"/>
              </w:rPr>
              <w:t>10000</w:t>
            </w:r>
            <w:r>
              <w:rPr>
                <w:rFonts w:ascii="仿宋_GB2312" w:eastAsia="仿宋_GB2312" w:hAnsi="仿宋_GB2312" w:cs="仿宋_GB2312" w:hint="eastAsia"/>
                <w:color w:val="000000"/>
                <w:sz w:val="24"/>
              </w:rPr>
              <w:t>万元；转贷资金完成累计转贷循环金额</w:t>
            </w:r>
            <w:r>
              <w:rPr>
                <w:rFonts w:ascii="仿宋_GB2312" w:eastAsia="仿宋_GB2312" w:hAnsi="仿宋_GB2312" w:cs="仿宋_GB2312"/>
                <w:color w:val="000000"/>
                <w:sz w:val="24"/>
              </w:rPr>
              <w:t>7</w:t>
            </w:r>
            <w:r>
              <w:rPr>
                <w:rFonts w:ascii="仿宋_GB2312" w:eastAsia="仿宋_GB2312" w:hAnsi="仿宋_GB2312" w:cs="仿宋_GB2312" w:hint="eastAsia"/>
                <w:color w:val="000000"/>
                <w:sz w:val="24"/>
              </w:rPr>
              <w:t>亿元</w:t>
            </w:r>
          </w:p>
        </w:tc>
      </w:tr>
      <w:tr w:rsidR="0012116E">
        <w:trPr>
          <w:trHeight w:val="414"/>
        </w:trPr>
        <w:tc>
          <w:tcPr>
            <w:tcW w:w="1715" w:type="dxa"/>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867" w:type="dxa"/>
            <w:gridSpan w:val="2"/>
            <w:tcBorders>
              <w:top w:val="single" w:sz="4" w:space="0" w:color="000000"/>
              <w:left w:val="single" w:sz="4" w:space="0" w:color="000000"/>
              <w:bottom w:val="single" w:sz="4" w:space="0" w:color="000000"/>
            </w:tcBorders>
            <w:vAlign w:val="center"/>
          </w:tcPr>
          <w:p w:rsidR="0012116E" w:rsidRDefault="004E1F36">
            <w:pPr>
              <w:widowControl/>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第四季度</w:t>
            </w:r>
          </w:p>
        </w:tc>
        <w:tc>
          <w:tcPr>
            <w:tcW w:w="5645" w:type="dxa"/>
            <w:gridSpan w:val="4"/>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完成担保金额</w:t>
            </w:r>
            <w:r>
              <w:rPr>
                <w:rFonts w:ascii="仿宋_GB2312" w:eastAsia="仿宋_GB2312" w:hAnsi="仿宋_GB2312" w:cs="仿宋_GB2312"/>
                <w:color w:val="000000"/>
                <w:sz w:val="24"/>
              </w:rPr>
              <w:t>4000</w:t>
            </w:r>
            <w:r>
              <w:rPr>
                <w:rFonts w:ascii="仿宋_GB2312" w:eastAsia="仿宋_GB2312" w:hAnsi="仿宋_GB2312" w:cs="仿宋_GB2312" w:hint="eastAsia"/>
                <w:color w:val="000000"/>
                <w:sz w:val="24"/>
              </w:rPr>
              <w:t>万元；转贷资金完成累计转贷金额</w:t>
            </w:r>
            <w:r>
              <w:rPr>
                <w:rFonts w:ascii="仿宋_GB2312" w:eastAsia="仿宋_GB2312" w:hAnsi="仿宋_GB2312" w:cs="仿宋_GB2312"/>
                <w:color w:val="000000"/>
                <w:sz w:val="24"/>
              </w:rPr>
              <w:t>13.5</w:t>
            </w:r>
            <w:r>
              <w:rPr>
                <w:rFonts w:ascii="仿宋_GB2312" w:eastAsia="仿宋_GB2312" w:hAnsi="仿宋_GB2312" w:cs="仿宋_GB2312" w:hint="eastAsia"/>
                <w:color w:val="000000"/>
                <w:sz w:val="24"/>
              </w:rPr>
              <w:t>亿元</w:t>
            </w:r>
          </w:p>
        </w:tc>
      </w:tr>
      <w:tr w:rsidR="0012116E">
        <w:trPr>
          <w:trHeight w:val="312"/>
        </w:trPr>
        <w:tc>
          <w:tcPr>
            <w:tcW w:w="1715" w:type="dxa"/>
            <w:vMerge w:val="restart"/>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总体绩效目标</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（概述）</w:t>
            </w:r>
          </w:p>
        </w:tc>
        <w:tc>
          <w:tcPr>
            <w:tcW w:w="7512" w:type="dxa"/>
            <w:gridSpan w:val="6"/>
            <w:vMerge w:val="restart"/>
            <w:tcBorders>
              <w:top w:val="single" w:sz="4" w:space="0" w:color="000000"/>
              <w:left w:val="single" w:sz="4" w:space="0" w:color="000000"/>
              <w:bottom w:val="single" w:sz="4" w:space="0" w:color="000000"/>
              <w:right w:val="single" w:sz="4" w:space="0" w:color="000000"/>
            </w:tcBorders>
            <w:vAlign w:val="center"/>
          </w:tcPr>
          <w:p w:rsidR="0012116E" w:rsidRDefault="004E1F36">
            <w:pPr>
              <w:tabs>
                <w:tab w:val="left" w:pos="312"/>
              </w:tabs>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1.向辖区内企业和金融机构推介“广东省中小企业融资平台”。</w:t>
            </w:r>
          </w:p>
          <w:p w:rsidR="0012116E" w:rsidRDefault="004E1F36">
            <w:pPr>
              <w:tabs>
                <w:tab w:val="left" w:pos="312"/>
              </w:tabs>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全年完成贷款担保总额不低于</w:t>
            </w:r>
            <w:r>
              <w:rPr>
                <w:rFonts w:ascii="仿宋_GB2312" w:eastAsia="仿宋_GB2312" w:hAnsi="仿宋_GB2312" w:cs="仿宋_GB2312"/>
                <w:color w:val="000000"/>
                <w:sz w:val="24"/>
              </w:rPr>
              <w:t>20000</w:t>
            </w:r>
            <w:r>
              <w:rPr>
                <w:rFonts w:ascii="仿宋_GB2312" w:eastAsia="仿宋_GB2312" w:hAnsi="仿宋_GB2312" w:cs="仿宋_GB2312" w:hint="eastAsia"/>
                <w:color w:val="000000"/>
                <w:sz w:val="24"/>
              </w:rPr>
              <w:t>万元；</w:t>
            </w:r>
          </w:p>
          <w:p w:rsidR="0012116E" w:rsidRDefault="004E1F36">
            <w:pPr>
              <w:tabs>
                <w:tab w:val="left" w:pos="312"/>
              </w:tabs>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3.全年完成贷款担保笔数不少于</w:t>
            </w:r>
            <w:r>
              <w:rPr>
                <w:rFonts w:ascii="仿宋_GB2312" w:eastAsia="仿宋_GB2312" w:hAnsi="仿宋_GB2312" w:cs="仿宋_GB2312"/>
                <w:color w:val="000000"/>
                <w:sz w:val="24"/>
              </w:rPr>
              <w:t>80</w:t>
            </w:r>
            <w:r>
              <w:rPr>
                <w:rFonts w:ascii="仿宋_GB2312" w:eastAsia="仿宋_GB2312" w:hAnsi="仿宋_GB2312" w:cs="仿宋_GB2312" w:hint="eastAsia"/>
                <w:color w:val="000000"/>
                <w:sz w:val="24"/>
              </w:rPr>
              <w:t>笔；</w:t>
            </w:r>
          </w:p>
          <w:p w:rsidR="0012116E" w:rsidRDefault="004E1F36">
            <w:pPr>
              <w:tabs>
                <w:tab w:val="left" w:pos="312"/>
              </w:tabs>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4.完成中小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转贷资金准备工作并上线运营；</w:t>
            </w:r>
          </w:p>
          <w:p w:rsidR="0012116E" w:rsidRDefault="004E1F36">
            <w:pPr>
              <w:tabs>
                <w:tab w:val="left" w:pos="312"/>
              </w:tabs>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5.保障中小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转贷资金正常、安全、高效运行；</w:t>
            </w:r>
          </w:p>
          <w:p w:rsidR="0012116E" w:rsidRDefault="004E1F36">
            <w:pPr>
              <w:tabs>
                <w:tab w:val="left" w:pos="312"/>
              </w:tabs>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6.为约</w:t>
            </w:r>
            <w:r>
              <w:rPr>
                <w:rFonts w:ascii="仿宋_GB2312" w:eastAsia="仿宋_GB2312" w:hAnsi="仿宋_GB2312" w:cs="仿宋_GB2312"/>
                <w:color w:val="000000"/>
                <w:sz w:val="24"/>
              </w:rPr>
              <w:t>350</w:t>
            </w:r>
            <w:r>
              <w:rPr>
                <w:rFonts w:ascii="仿宋_GB2312" w:eastAsia="仿宋_GB2312" w:hAnsi="仿宋_GB2312" w:cs="仿宋_GB2312" w:hint="eastAsia"/>
                <w:color w:val="000000"/>
                <w:sz w:val="24"/>
              </w:rPr>
              <w:t>家（次）企业提供融资担保和转贷服务；</w:t>
            </w:r>
          </w:p>
          <w:p w:rsidR="0012116E" w:rsidRDefault="004E1F36">
            <w:pPr>
              <w:tabs>
                <w:tab w:val="left" w:pos="312"/>
              </w:tabs>
              <w:ind w:left="240" w:hangingChars="100" w:hanging="24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7.缓解企业短期资金周转压力，为企业增信融资，缓解企业融资难、融资贵问题。</w:t>
            </w:r>
          </w:p>
        </w:tc>
      </w:tr>
      <w:tr w:rsidR="0012116E">
        <w:trPr>
          <w:trHeight w:val="312"/>
        </w:trPr>
        <w:tc>
          <w:tcPr>
            <w:tcW w:w="1715" w:type="dxa"/>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7512" w:type="dxa"/>
            <w:gridSpan w:val="6"/>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r>
      <w:tr w:rsidR="0012116E">
        <w:trPr>
          <w:trHeight w:val="312"/>
        </w:trPr>
        <w:tc>
          <w:tcPr>
            <w:tcW w:w="1715" w:type="dxa"/>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7512" w:type="dxa"/>
            <w:gridSpan w:val="6"/>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r>
      <w:tr w:rsidR="0012116E">
        <w:trPr>
          <w:trHeight w:val="1008"/>
        </w:trPr>
        <w:tc>
          <w:tcPr>
            <w:tcW w:w="1715" w:type="dxa"/>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7512" w:type="dxa"/>
            <w:gridSpan w:val="6"/>
            <w:vMerge/>
            <w:tcBorders>
              <w:top w:val="single" w:sz="4" w:space="0" w:color="000000"/>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r>
      <w:tr w:rsidR="0012116E">
        <w:trPr>
          <w:gridAfter w:val="1"/>
          <w:wAfter w:w="23" w:type="dxa"/>
          <w:trHeight w:val="43"/>
        </w:trPr>
        <w:tc>
          <w:tcPr>
            <w:tcW w:w="1715" w:type="dxa"/>
            <w:vMerge w:val="restart"/>
            <w:tcBorders>
              <w:top w:val="single" w:sz="4" w:space="0" w:color="000000"/>
              <w:left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绩</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效</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指</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标</w:t>
            </w:r>
          </w:p>
        </w:tc>
        <w:tc>
          <w:tcPr>
            <w:tcW w:w="551"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一级</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指标</w:t>
            </w:r>
          </w:p>
        </w:tc>
        <w:tc>
          <w:tcPr>
            <w:tcW w:w="1316"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二级指标</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三级指标</w:t>
            </w:r>
          </w:p>
        </w:tc>
        <w:tc>
          <w:tcPr>
            <w:tcW w:w="3249" w:type="dxa"/>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指标值</w:t>
            </w:r>
          </w:p>
        </w:tc>
      </w:tr>
      <w:tr w:rsidR="0012116E">
        <w:trPr>
          <w:gridAfter w:val="1"/>
          <w:wAfter w:w="23" w:type="dxa"/>
          <w:trHeight w:val="452"/>
        </w:trPr>
        <w:tc>
          <w:tcPr>
            <w:tcW w:w="1715"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val="restart"/>
            <w:tcBorders>
              <w:top w:val="single" w:sz="4" w:space="0" w:color="000000"/>
              <w:left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效</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益</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指</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标</w:t>
            </w:r>
          </w:p>
        </w:tc>
        <w:tc>
          <w:tcPr>
            <w:tcW w:w="1316" w:type="dxa"/>
            <w:vMerge w:val="restart"/>
            <w:tcBorders>
              <w:top w:val="single" w:sz="4" w:space="0" w:color="000000"/>
              <w:left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rPr>
              <w:t>经济效益</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指标</w:t>
            </w:r>
          </w:p>
        </w:tc>
        <w:tc>
          <w:tcPr>
            <w:tcW w:w="2373" w:type="dxa"/>
            <w:gridSpan w:val="2"/>
            <w:tcBorders>
              <w:top w:val="single" w:sz="4" w:space="0" w:color="000000"/>
              <w:left w:val="single" w:sz="4" w:space="0" w:color="000000"/>
              <w:right w:val="single" w:sz="4" w:space="0" w:color="000000"/>
            </w:tcBorders>
            <w:vAlign w:val="center"/>
          </w:tcPr>
          <w:p w:rsidR="0012116E" w:rsidRDefault="004E1F36">
            <w:pPr>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服务中小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数（家）</w:t>
            </w:r>
          </w:p>
        </w:tc>
        <w:tc>
          <w:tcPr>
            <w:tcW w:w="3249" w:type="dxa"/>
            <w:tcBorders>
              <w:top w:val="single" w:sz="4" w:space="0" w:color="000000"/>
              <w:left w:val="single" w:sz="4" w:space="0" w:color="000000"/>
              <w:right w:val="single" w:sz="4" w:space="0" w:color="000000"/>
            </w:tcBorders>
            <w:vAlign w:val="center"/>
          </w:tcPr>
          <w:p w:rsidR="0012116E" w:rsidRDefault="004E1F36">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每年约可为</w:t>
            </w:r>
            <w:r>
              <w:rPr>
                <w:rFonts w:ascii="仿宋_GB2312" w:eastAsia="仿宋_GB2312" w:hAnsi="仿宋_GB2312" w:cs="仿宋_GB2312"/>
                <w:color w:val="000000"/>
                <w:sz w:val="24"/>
              </w:rPr>
              <w:t>350</w:t>
            </w:r>
            <w:r>
              <w:rPr>
                <w:rFonts w:ascii="仿宋_GB2312" w:eastAsia="仿宋_GB2312" w:hAnsi="仿宋_GB2312" w:cs="仿宋_GB2312" w:hint="eastAsia"/>
                <w:color w:val="000000"/>
                <w:sz w:val="24"/>
              </w:rPr>
              <w:t>家（次）企业提供融资担保和转贷服务</w:t>
            </w:r>
          </w:p>
        </w:tc>
      </w:tr>
      <w:tr w:rsidR="0012116E">
        <w:trPr>
          <w:gridAfter w:val="1"/>
          <w:wAfter w:w="23" w:type="dxa"/>
          <w:trHeight w:val="509"/>
        </w:trPr>
        <w:tc>
          <w:tcPr>
            <w:tcW w:w="1715"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316" w:type="dxa"/>
            <w:vMerge/>
            <w:tcBorders>
              <w:left w:val="single" w:sz="4" w:space="0" w:color="000000"/>
              <w:right w:val="single" w:sz="4" w:space="0" w:color="000000"/>
            </w:tcBorders>
            <w:vAlign w:val="center"/>
          </w:tcPr>
          <w:p w:rsidR="0012116E" w:rsidRDefault="0012116E">
            <w:pPr>
              <w:jc w:val="center"/>
              <w:textAlignment w:val="center"/>
              <w:rPr>
                <w:rFonts w:ascii="仿宋_GB2312" w:eastAsia="仿宋_GB2312" w:hAnsi="仿宋_GB2312" w:cs="仿宋_GB2312"/>
                <w:color w:val="000000"/>
                <w:kern w:val="0"/>
                <w:sz w:val="24"/>
              </w:rPr>
            </w:pP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降低企业融资成本</w:t>
            </w:r>
          </w:p>
        </w:tc>
        <w:tc>
          <w:tcPr>
            <w:tcW w:w="3249" w:type="dxa"/>
            <w:tcBorders>
              <w:top w:val="single" w:sz="4" w:space="0" w:color="000000"/>
              <w:left w:val="single" w:sz="4" w:space="0" w:color="000000"/>
              <w:bottom w:val="single" w:sz="4" w:space="0" w:color="000000"/>
              <w:right w:val="single" w:sz="4" w:space="0" w:color="000000"/>
            </w:tcBorders>
            <w:vAlign w:val="center"/>
          </w:tcPr>
          <w:p w:rsidR="0012116E" w:rsidRDefault="004E1F36">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以社会融资年利率</w:t>
            </w:r>
            <w:r>
              <w:rPr>
                <w:rFonts w:ascii="仿宋_GB2312" w:eastAsia="仿宋_GB2312" w:hAnsi="仿宋_GB2312" w:cs="仿宋_GB2312"/>
                <w:color w:val="000000"/>
                <w:sz w:val="24"/>
              </w:rPr>
              <w:t>36%</w:t>
            </w:r>
            <w:r>
              <w:rPr>
                <w:rFonts w:ascii="仿宋_GB2312" w:eastAsia="仿宋_GB2312" w:hAnsi="仿宋_GB2312" w:cs="仿宋_GB2312" w:hint="eastAsia"/>
                <w:color w:val="000000"/>
                <w:sz w:val="24"/>
              </w:rPr>
              <w:t>计算，可降低中小企业融资成本</w:t>
            </w:r>
            <w:r>
              <w:rPr>
                <w:rFonts w:ascii="仿宋_GB2312" w:eastAsia="仿宋_GB2312" w:hAnsi="仿宋_GB2312" w:cs="仿宋_GB2312"/>
                <w:color w:val="000000"/>
                <w:sz w:val="24"/>
              </w:rPr>
              <w:t>31.1%</w:t>
            </w:r>
          </w:p>
        </w:tc>
      </w:tr>
      <w:tr w:rsidR="0012116E">
        <w:trPr>
          <w:gridAfter w:val="1"/>
          <w:wAfter w:w="23" w:type="dxa"/>
          <w:trHeight w:val="509"/>
        </w:trPr>
        <w:tc>
          <w:tcPr>
            <w:tcW w:w="1715"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316" w:type="dxa"/>
            <w:vMerge w:val="restart"/>
            <w:tcBorders>
              <w:top w:val="single" w:sz="4" w:space="0" w:color="000000"/>
              <w:left w:val="single" w:sz="4" w:space="0" w:color="000000"/>
              <w:right w:val="single" w:sz="4" w:space="0" w:color="000000"/>
            </w:tcBorders>
            <w:vAlign w:val="center"/>
          </w:tcPr>
          <w:p w:rsidR="0012116E" w:rsidRDefault="004E1F36">
            <w:pPr>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社会效益</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指标</w:t>
            </w:r>
          </w:p>
        </w:tc>
        <w:tc>
          <w:tcPr>
            <w:tcW w:w="2373" w:type="dxa"/>
            <w:gridSpan w:val="2"/>
            <w:tcBorders>
              <w:top w:val="single" w:sz="4" w:space="0" w:color="000000"/>
              <w:left w:val="single" w:sz="4" w:space="0" w:color="000000"/>
              <w:bottom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保障防范化解重大风险</w:t>
            </w:r>
          </w:p>
        </w:tc>
        <w:tc>
          <w:tcPr>
            <w:tcW w:w="3249" w:type="dxa"/>
            <w:tcBorders>
              <w:top w:val="single" w:sz="4" w:space="0" w:color="000000"/>
              <w:left w:val="single" w:sz="4" w:space="0" w:color="000000"/>
              <w:bottom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w:t>
            </w:r>
          </w:p>
        </w:tc>
      </w:tr>
      <w:tr w:rsidR="0012116E">
        <w:trPr>
          <w:gridAfter w:val="1"/>
          <w:wAfter w:w="23" w:type="dxa"/>
          <w:trHeight w:val="428"/>
        </w:trPr>
        <w:tc>
          <w:tcPr>
            <w:tcW w:w="1715"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316" w:type="dxa"/>
            <w:vMerge/>
            <w:tcBorders>
              <w:left w:val="single" w:sz="4" w:space="0" w:color="000000"/>
              <w:right w:val="single" w:sz="4" w:space="0" w:color="000000"/>
            </w:tcBorders>
            <w:vAlign w:val="center"/>
          </w:tcPr>
          <w:p w:rsidR="0012116E" w:rsidRDefault="0012116E">
            <w:pPr>
              <w:widowControl/>
              <w:jc w:val="center"/>
              <w:textAlignment w:val="center"/>
              <w:rPr>
                <w:rFonts w:ascii="仿宋_GB2312" w:eastAsia="仿宋_GB2312" w:hAnsi="仿宋_GB2312" w:cs="仿宋_GB2312"/>
                <w:color w:val="000000"/>
                <w:sz w:val="24"/>
              </w:rPr>
            </w:pPr>
          </w:p>
        </w:tc>
        <w:tc>
          <w:tcPr>
            <w:tcW w:w="2373" w:type="dxa"/>
            <w:gridSpan w:val="2"/>
            <w:tcBorders>
              <w:top w:val="single" w:sz="4" w:space="0" w:color="000000"/>
              <w:left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促进深化地方金融改革</w:t>
            </w:r>
          </w:p>
        </w:tc>
        <w:tc>
          <w:tcPr>
            <w:tcW w:w="3249" w:type="dxa"/>
            <w:tcBorders>
              <w:top w:val="single" w:sz="4" w:space="0" w:color="000000"/>
              <w:left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20%</w:t>
            </w:r>
          </w:p>
        </w:tc>
      </w:tr>
      <w:tr w:rsidR="0012116E">
        <w:trPr>
          <w:gridAfter w:val="1"/>
          <w:wAfter w:w="23" w:type="dxa"/>
          <w:trHeight w:val="114"/>
        </w:trPr>
        <w:tc>
          <w:tcPr>
            <w:tcW w:w="1715"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316" w:type="dxa"/>
            <w:vMerge/>
            <w:tcBorders>
              <w:left w:val="single" w:sz="4" w:space="0" w:color="000000"/>
              <w:right w:val="single" w:sz="4" w:space="0" w:color="000000"/>
            </w:tcBorders>
            <w:vAlign w:val="center"/>
          </w:tcPr>
          <w:p w:rsidR="0012116E" w:rsidRDefault="0012116E">
            <w:pPr>
              <w:widowControl/>
              <w:jc w:val="center"/>
              <w:textAlignment w:val="center"/>
              <w:rPr>
                <w:rFonts w:ascii="仿宋_GB2312" w:eastAsia="仿宋_GB2312" w:hAnsi="仿宋_GB2312" w:cs="仿宋_GB2312"/>
                <w:color w:val="000000"/>
                <w:sz w:val="24"/>
              </w:rPr>
            </w:pPr>
          </w:p>
        </w:tc>
        <w:tc>
          <w:tcPr>
            <w:tcW w:w="2373" w:type="dxa"/>
            <w:gridSpan w:val="2"/>
            <w:tcBorders>
              <w:top w:val="single" w:sz="4" w:space="0" w:color="000000"/>
              <w:left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提升金融服务实体经济水平</w:t>
            </w:r>
          </w:p>
        </w:tc>
        <w:tc>
          <w:tcPr>
            <w:tcW w:w="3249" w:type="dxa"/>
            <w:tcBorders>
              <w:top w:val="single" w:sz="4" w:space="0" w:color="000000"/>
              <w:left w:val="single" w:sz="4" w:space="0" w:color="000000"/>
              <w:bottom w:val="single" w:sz="4" w:space="0" w:color="000000"/>
              <w:right w:val="single" w:sz="4" w:space="0" w:color="000000"/>
            </w:tcBorders>
            <w:vAlign w:val="center"/>
          </w:tcPr>
          <w:p w:rsidR="0012116E" w:rsidRDefault="004E1F36">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缓解中小</w:t>
            </w:r>
            <w:proofErr w:type="gramStart"/>
            <w:r>
              <w:rPr>
                <w:rFonts w:ascii="仿宋_GB2312" w:eastAsia="仿宋_GB2312" w:hAnsi="仿宋_GB2312" w:cs="仿宋_GB2312" w:hint="eastAsia"/>
                <w:color w:val="000000"/>
                <w:sz w:val="24"/>
              </w:rPr>
              <w:t>微企业</w:t>
            </w:r>
            <w:proofErr w:type="gramEnd"/>
            <w:r>
              <w:rPr>
                <w:rFonts w:ascii="仿宋_GB2312" w:eastAsia="仿宋_GB2312" w:hAnsi="仿宋_GB2312" w:cs="仿宋_GB2312" w:hint="eastAsia"/>
                <w:color w:val="000000"/>
                <w:sz w:val="24"/>
              </w:rPr>
              <w:t>融资难、融资</w:t>
            </w:r>
            <w:proofErr w:type="gramStart"/>
            <w:r>
              <w:rPr>
                <w:rFonts w:ascii="仿宋_GB2312" w:eastAsia="仿宋_GB2312" w:hAnsi="仿宋_GB2312" w:cs="仿宋_GB2312" w:hint="eastAsia"/>
                <w:color w:val="000000"/>
                <w:sz w:val="24"/>
              </w:rPr>
              <w:t>贵问题</w:t>
            </w:r>
            <w:proofErr w:type="gramEnd"/>
          </w:p>
        </w:tc>
      </w:tr>
      <w:tr w:rsidR="0012116E">
        <w:trPr>
          <w:gridAfter w:val="1"/>
          <w:wAfter w:w="23" w:type="dxa"/>
          <w:trHeight w:val="670"/>
        </w:trPr>
        <w:tc>
          <w:tcPr>
            <w:tcW w:w="1715"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tcBorders>
              <w:left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316" w:type="dxa"/>
            <w:tcBorders>
              <w:top w:val="single" w:sz="4" w:space="0" w:color="000000"/>
              <w:left w:val="single" w:sz="4" w:space="0" w:color="000000"/>
              <w:right w:val="single" w:sz="4" w:space="0" w:color="000000"/>
            </w:tcBorders>
            <w:vAlign w:val="center"/>
          </w:tcPr>
          <w:p w:rsidR="0012116E" w:rsidRDefault="004E1F36">
            <w:pPr>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可持续影响指标</w:t>
            </w:r>
          </w:p>
        </w:tc>
        <w:tc>
          <w:tcPr>
            <w:tcW w:w="2373" w:type="dxa"/>
            <w:gridSpan w:val="2"/>
            <w:tcBorders>
              <w:top w:val="single" w:sz="4" w:space="0" w:color="000000"/>
              <w:left w:val="single" w:sz="4" w:space="0" w:color="000000"/>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融资担保和转贷资金合作银行准入家数</w:t>
            </w:r>
          </w:p>
        </w:tc>
        <w:tc>
          <w:tcPr>
            <w:tcW w:w="3249" w:type="dxa"/>
            <w:tcBorders>
              <w:top w:val="single" w:sz="4" w:space="0" w:color="000000"/>
              <w:left w:val="single" w:sz="4" w:space="0" w:color="000000"/>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增加</w:t>
            </w:r>
            <w:r>
              <w:rPr>
                <w:rFonts w:ascii="仿宋_GB2312" w:eastAsia="仿宋_GB2312" w:hAnsi="仿宋_GB2312" w:cs="仿宋_GB2312"/>
                <w:color w:val="000000"/>
                <w:sz w:val="24"/>
              </w:rPr>
              <w:t>1-3</w:t>
            </w:r>
            <w:r>
              <w:rPr>
                <w:rFonts w:ascii="仿宋_GB2312" w:eastAsia="仿宋_GB2312" w:hAnsi="仿宋_GB2312" w:cs="仿宋_GB2312" w:hint="eastAsia"/>
                <w:color w:val="000000"/>
                <w:sz w:val="24"/>
              </w:rPr>
              <w:t>家合作银行</w:t>
            </w:r>
          </w:p>
        </w:tc>
      </w:tr>
      <w:tr w:rsidR="0012116E">
        <w:trPr>
          <w:gridAfter w:val="1"/>
          <w:wAfter w:w="23" w:type="dxa"/>
          <w:trHeight w:val="532"/>
        </w:trPr>
        <w:tc>
          <w:tcPr>
            <w:tcW w:w="1715" w:type="dxa"/>
            <w:vMerge/>
            <w:tcBorders>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551" w:type="dxa"/>
            <w:vMerge/>
            <w:tcBorders>
              <w:left w:val="single" w:sz="4" w:space="0" w:color="000000"/>
              <w:bottom w:val="single" w:sz="4" w:space="0" w:color="000000"/>
              <w:right w:val="single" w:sz="4" w:space="0" w:color="000000"/>
            </w:tcBorders>
            <w:vAlign w:val="center"/>
          </w:tcPr>
          <w:p w:rsidR="0012116E" w:rsidRDefault="0012116E">
            <w:pPr>
              <w:jc w:val="center"/>
              <w:rPr>
                <w:rFonts w:ascii="仿宋_GB2312" w:eastAsia="仿宋_GB2312" w:hAnsi="仿宋_GB2312" w:cs="仿宋_GB2312"/>
                <w:color w:val="000000"/>
                <w:sz w:val="24"/>
              </w:rPr>
            </w:pPr>
          </w:p>
        </w:tc>
        <w:tc>
          <w:tcPr>
            <w:tcW w:w="1316" w:type="dxa"/>
            <w:tcBorders>
              <w:top w:val="single" w:sz="4" w:space="0" w:color="000000"/>
              <w:left w:val="single" w:sz="4" w:space="0" w:color="000000"/>
              <w:bottom w:val="single" w:sz="4" w:space="0" w:color="auto"/>
              <w:right w:val="single" w:sz="4" w:space="0" w:color="000000"/>
            </w:tcBorders>
            <w:vAlign w:val="center"/>
          </w:tcPr>
          <w:p w:rsidR="0012116E" w:rsidRDefault="004E1F36">
            <w:pPr>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服务对象</w:t>
            </w:r>
            <w:r>
              <w:rPr>
                <w:rFonts w:ascii="仿宋_GB2312" w:eastAsia="仿宋_GB2312" w:hAnsi="仿宋_GB2312" w:cs="仿宋_GB2312"/>
                <w:color w:val="000000"/>
                <w:kern w:val="0"/>
                <w:sz w:val="24"/>
              </w:rPr>
              <w:br/>
            </w:r>
            <w:r>
              <w:rPr>
                <w:rFonts w:ascii="仿宋_GB2312" w:eastAsia="仿宋_GB2312" w:hAnsi="仿宋_GB2312" w:cs="仿宋_GB2312" w:hint="eastAsia"/>
                <w:color w:val="000000"/>
                <w:kern w:val="0"/>
                <w:sz w:val="24"/>
              </w:rPr>
              <w:t>满意度指标</w:t>
            </w:r>
          </w:p>
        </w:tc>
        <w:tc>
          <w:tcPr>
            <w:tcW w:w="2373" w:type="dxa"/>
            <w:gridSpan w:val="2"/>
            <w:tcBorders>
              <w:top w:val="single" w:sz="4" w:space="0" w:color="000000"/>
              <w:left w:val="single" w:sz="4" w:space="0" w:color="000000"/>
              <w:bottom w:val="single" w:sz="4" w:space="0" w:color="auto"/>
              <w:right w:val="single" w:sz="4" w:space="0" w:color="000000"/>
            </w:tcBorders>
            <w:vAlign w:val="center"/>
          </w:tcPr>
          <w:p w:rsidR="0012116E" w:rsidRDefault="004E1F36">
            <w:pPr>
              <w:widowControl/>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服务对象满意度（</w:t>
            </w:r>
            <w:r>
              <w:rPr>
                <w:rFonts w:ascii="仿宋_GB2312" w:eastAsia="仿宋_GB2312" w:hAnsi="仿宋_GB2312" w:cs="仿宋_GB2312"/>
                <w:color w:val="000000"/>
                <w:sz w:val="24"/>
              </w:rPr>
              <w:t>%</w:t>
            </w:r>
            <w:r>
              <w:rPr>
                <w:rFonts w:ascii="仿宋_GB2312" w:eastAsia="仿宋_GB2312" w:hAnsi="仿宋_GB2312" w:cs="仿宋_GB2312" w:hint="eastAsia"/>
                <w:color w:val="000000"/>
                <w:sz w:val="24"/>
              </w:rPr>
              <w:t>）</w:t>
            </w:r>
          </w:p>
        </w:tc>
        <w:tc>
          <w:tcPr>
            <w:tcW w:w="3249" w:type="dxa"/>
            <w:tcBorders>
              <w:top w:val="single" w:sz="4" w:space="0" w:color="000000"/>
              <w:left w:val="single" w:sz="4" w:space="0" w:color="000000"/>
              <w:bottom w:val="single" w:sz="4" w:space="0" w:color="auto"/>
              <w:right w:val="single" w:sz="4" w:space="0" w:color="000000"/>
            </w:tcBorders>
            <w:vAlign w:val="center"/>
          </w:tcPr>
          <w:p w:rsidR="0012116E" w:rsidRDefault="004E1F36">
            <w:pPr>
              <w:jc w:val="center"/>
              <w:rPr>
                <w:rFonts w:ascii="仿宋_GB2312" w:eastAsia="仿宋_GB2312" w:hAnsi="仿宋_GB2312" w:cs="仿宋_GB2312"/>
                <w:color w:val="000000"/>
                <w:sz w:val="24"/>
              </w:rPr>
            </w:pPr>
            <w:r>
              <w:rPr>
                <w:rFonts w:ascii="仿宋_GB2312" w:eastAsia="仿宋_GB2312" w:hAnsi="仿宋_GB2312" w:cs="仿宋_GB2312"/>
                <w:color w:val="000000"/>
                <w:sz w:val="24"/>
              </w:rPr>
              <w:t>100%</w:t>
            </w:r>
          </w:p>
        </w:tc>
      </w:tr>
    </w:tbl>
    <w:p w:rsidR="0012116E" w:rsidRDefault="0012116E"/>
    <w:sectPr w:rsidR="0012116E" w:rsidSect="008143E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2D" w:rsidRDefault="00FC692D" w:rsidP="008143EC">
      <w:r>
        <w:separator/>
      </w:r>
    </w:p>
  </w:endnote>
  <w:endnote w:type="continuationSeparator" w:id="0">
    <w:p w:rsidR="00FC692D" w:rsidRDefault="00FC692D" w:rsidP="0081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C" w:rsidRDefault="008143E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C" w:rsidRPr="008143EC" w:rsidRDefault="008143EC">
    <w:pPr>
      <w:pStyle w:val="a3"/>
      <w:jc w:val="center"/>
      <w:rPr>
        <w:rFonts w:ascii="宋体" w:hAnsi="宋体"/>
        <w:sz w:val="28"/>
        <w:szCs w:val="28"/>
      </w:rPr>
    </w:pPr>
    <w:r w:rsidRPr="008143EC">
      <w:rPr>
        <w:rFonts w:ascii="宋体" w:hAnsi="宋体"/>
        <w:sz w:val="28"/>
        <w:szCs w:val="28"/>
      </w:rPr>
      <w:fldChar w:fldCharType="begin"/>
    </w:r>
    <w:r w:rsidRPr="008143EC">
      <w:rPr>
        <w:rFonts w:ascii="宋体" w:hAnsi="宋体"/>
        <w:sz w:val="28"/>
        <w:szCs w:val="28"/>
      </w:rPr>
      <w:instrText>PAGE   \* MERGEFORMAT</w:instrText>
    </w:r>
    <w:r w:rsidRPr="008143EC">
      <w:rPr>
        <w:rFonts w:ascii="宋体" w:hAnsi="宋体"/>
        <w:sz w:val="28"/>
        <w:szCs w:val="28"/>
      </w:rPr>
      <w:fldChar w:fldCharType="separate"/>
    </w:r>
    <w:r w:rsidRPr="008143EC">
      <w:rPr>
        <w:rFonts w:ascii="宋体" w:hAnsi="宋体"/>
        <w:sz w:val="28"/>
        <w:szCs w:val="28"/>
        <w:lang w:val="zh-CN"/>
      </w:rPr>
      <w:t>2</w:t>
    </w:r>
    <w:r w:rsidRPr="008143EC">
      <w:rPr>
        <w:rFonts w:ascii="宋体" w:hAnsi="宋体"/>
        <w:sz w:val="28"/>
        <w:szCs w:val="28"/>
      </w:rPr>
      <w:fldChar w:fldCharType="end"/>
    </w:r>
  </w:p>
  <w:p w:rsidR="008143EC" w:rsidRDefault="008143EC">
    <w:pPr>
      <w:pStyle w:val="a3"/>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C" w:rsidRDefault="008143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2D" w:rsidRDefault="00FC692D" w:rsidP="008143EC">
      <w:r>
        <w:separator/>
      </w:r>
    </w:p>
  </w:footnote>
  <w:footnote w:type="continuationSeparator" w:id="0">
    <w:p w:rsidR="00FC692D" w:rsidRDefault="00FC692D" w:rsidP="0081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C" w:rsidRDefault="008143E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C" w:rsidRDefault="008143E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43EC" w:rsidRDefault="008143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766D1F1C"/>
    <w:rsid w:val="00021A56"/>
    <w:rsid w:val="0003755A"/>
    <w:rsid w:val="000458CF"/>
    <w:rsid w:val="000546BC"/>
    <w:rsid w:val="0006165E"/>
    <w:rsid w:val="000A479C"/>
    <w:rsid w:val="000A5DDA"/>
    <w:rsid w:val="000C09C2"/>
    <w:rsid w:val="000C1483"/>
    <w:rsid w:val="000C458A"/>
    <w:rsid w:val="000D3340"/>
    <w:rsid w:val="000F39CC"/>
    <w:rsid w:val="0012116E"/>
    <w:rsid w:val="00131C56"/>
    <w:rsid w:val="001A3D93"/>
    <w:rsid w:val="001B56E1"/>
    <w:rsid w:val="002117B4"/>
    <w:rsid w:val="00212C97"/>
    <w:rsid w:val="0022008B"/>
    <w:rsid w:val="0024177D"/>
    <w:rsid w:val="00274650"/>
    <w:rsid w:val="00291738"/>
    <w:rsid w:val="002B0A16"/>
    <w:rsid w:val="00305DB5"/>
    <w:rsid w:val="00356487"/>
    <w:rsid w:val="00363B2E"/>
    <w:rsid w:val="00396B5F"/>
    <w:rsid w:val="003D4A75"/>
    <w:rsid w:val="003F61DF"/>
    <w:rsid w:val="004034BA"/>
    <w:rsid w:val="00471D19"/>
    <w:rsid w:val="00490238"/>
    <w:rsid w:val="004B2120"/>
    <w:rsid w:val="004E1F36"/>
    <w:rsid w:val="0052156B"/>
    <w:rsid w:val="005258EE"/>
    <w:rsid w:val="005A6CCA"/>
    <w:rsid w:val="005D1F5F"/>
    <w:rsid w:val="005E75D8"/>
    <w:rsid w:val="006344BF"/>
    <w:rsid w:val="00654843"/>
    <w:rsid w:val="00663815"/>
    <w:rsid w:val="00667E49"/>
    <w:rsid w:val="00687C35"/>
    <w:rsid w:val="006A398B"/>
    <w:rsid w:val="006E6DB8"/>
    <w:rsid w:val="006F74D1"/>
    <w:rsid w:val="00716443"/>
    <w:rsid w:val="00723866"/>
    <w:rsid w:val="00723DED"/>
    <w:rsid w:val="00747CAB"/>
    <w:rsid w:val="007639F4"/>
    <w:rsid w:val="008013E0"/>
    <w:rsid w:val="00813579"/>
    <w:rsid w:val="008143EC"/>
    <w:rsid w:val="00826043"/>
    <w:rsid w:val="00833B8E"/>
    <w:rsid w:val="008F1DDC"/>
    <w:rsid w:val="0090334D"/>
    <w:rsid w:val="00920916"/>
    <w:rsid w:val="00930CAE"/>
    <w:rsid w:val="009C4A67"/>
    <w:rsid w:val="009D6832"/>
    <w:rsid w:val="00A31C8F"/>
    <w:rsid w:val="00A57121"/>
    <w:rsid w:val="00A75007"/>
    <w:rsid w:val="00A803DC"/>
    <w:rsid w:val="00B01367"/>
    <w:rsid w:val="00B10591"/>
    <w:rsid w:val="00B119A4"/>
    <w:rsid w:val="00B249FF"/>
    <w:rsid w:val="00B9158B"/>
    <w:rsid w:val="00BD1C7E"/>
    <w:rsid w:val="00BF678D"/>
    <w:rsid w:val="00C017E3"/>
    <w:rsid w:val="00C07524"/>
    <w:rsid w:val="00C226E7"/>
    <w:rsid w:val="00C909AB"/>
    <w:rsid w:val="00CE2A05"/>
    <w:rsid w:val="00D5019B"/>
    <w:rsid w:val="00D51A7F"/>
    <w:rsid w:val="00D77E11"/>
    <w:rsid w:val="00D825EF"/>
    <w:rsid w:val="00DA47DC"/>
    <w:rsid w:val="00E27ABC"/>
    <w:rsid w:val="00E40F62"/>
    <w:rsid w:val="00E85DCF"/>
    <w:rsid w:val="00EA2CE7"/>
    <w:rsid w:val="00F34510"/>
    <w:rsid w:val="00F557BF"/>
    <w:rsid w:val="00F932F2"/>
    <w:rsid w:val="00FA53E3"/>
    <w:rsid w:val="00FC692D"/>
    <w:rsid w:val="00FD0839"/>
    <w:rsid w:val="00FE2491"/>
    <w:rsid w:val="00FE46A4"/>
    <w:rsid w:val="00FF76F6"/>
    <w:rsid w:val="608E0E37"/>
    <w:rsid w:val="64DD2434"/>
    <w:rsid w:val="72C778AD"/>
    <w:rsid w:val="766D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C8FB5E-1A52-4E2F-9AC3-9DC4B36C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0"/>
    <w:next w:val="a"/>
    <w:link w:val="10"/>
    <w:uiPriority w:val="9"/>
    <w:qFormat/>
    <w:rsid w:val="004E1F36"/>
    <w:pPr>
      <w:spacing w:line="580" w:lineRule="exact"/>
      <w:ind w:firstLineChars="100" w:firstLine="360"/>
      <w:jc w:val="center"/>
      <w:outlineLvl w:val="0"/>
    </w:pPr>
    <w:rPr>
      <w:rFonts w:eastAsia="方正小标宋简体"/>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rFonts w:ascii="Times New Roman" w:hAnsi="Times New Roman"/>
      <w:kern w:val="0"/>
      <w:sz w:val="24"/>
    </w:rPr>
  </w:style>
  <w:style w:type="character" w:customStyle="1" w:styleId="font11">
    <w:name w:val="font11"/>
    <w:uiPriority w:val="99"/>
    <w:rPr>
      <w:rFonts w:ascii="宋体" w:eastAsia="宋体" w:hAnsi="宋体" w:cs="宋体"/>
      <w:color w:val="000000"/>
      <w:sz w:val="22"/>
      <w:szCs w:val="22"/>
      <w:u w:val="none"/>
    </w:rPr>
  </w:style>
  <w:style w:type="character" w:customStyle="1" w:styleId="a6">
    <w:name w:val="页眉 字符"/>
    <w:link w:val="a5"/>
    <w:uiPriority w:val="99"/>
    <w:qFormat/>
    <w:locked/>
    <w:rPr>
      <w:rFonts w:ascii="Calibri" w:hAnsi="Calibri" w:cs="Times New Roman"/>
      <w:kern w:val="2"/>
      <w:sz w:val="18"/>
      <w:szCs w:val="18"/>
    </w:rPr>
  </w:style>
  <w:style w:type="character" w:customStyle="1" w:styleId="a4">
    <w:name w:val="页脚 字符"/>
    <w:link w:val="a3"/>
    <w:uiPriority w:val="99"/>
    <w:locked/>
    <w:rPr>
      <w:rFonts w:ascii="Calibri" w:hAnsi="Calibri" w:cs="Times New Roman"/>
      <w:kern w:val="2"/>
      <w:sz w:val="18"/>
      <w:szCs w:val="18"/>
    </w:rPr>
  </w:style>
  <w:style w:type="character" w:customStyle="1" w:styleId="10">
    <w:name w:val="标题 1 字符"/>
    <w:link w:val="1"/>
    <w:uiPriority w:val="9"/>
    <w:qFormat/>
    <w:rsid w:val="004E1F36"/>
    <w:rPr>
      <w:rFonts w:eastAsia="方正小标宋简体"/>
      <w:sz w:val="36"/>
      <w:szCs w:val="36"/>
    </w:rPr>
  </w:style>
  <w:style w:type="paragraph" w:customStyle="1" w:styleId="0">
    <w:name w:val="0.公文段落"/>
    <w:basedOn w:val="a"/>
    <w:qFormat/>
    <w:rsid w:val="004E1F36"/>
    <w:pPr>
      <w:autoSpaceDE w:val="0"/>
      <w:autoSpaceDN w:val="0"/>
      <w:adjustRightInd w:val="0"/>
      <w:snapToGrid w:val="0"/>
      <w:spacing w:line="360" w:lineRule="auto"/>
      <w:ind w:firstLineChars="200" w:firstLine="200"/>
    </w:pPr>
    <w:rPr>
      <w:rFonts w:ascii="Times New Roman" w:eastAsia="仿宋_GB2312" w:hAnsi="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93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陈海江</dc:creator>
  <cp:lastModifiedBy>Lenovo</cp:lastModifiedBy>
  <cp:revision>22</cp:revision>
  <cp:lastPrinted>2020-02-14T08:16:00Z</cp:lastPrinted>
  <dcterms:created xsi:type="dcterms:W3CDTF">2019-10-10T04:00:00Z</dcterms:created>
  <dcterms:modified xsi:type="dcterms:W3CDTF">2020-02-14T08:17:00Z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