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spacing w:line="70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广东省地方金融监管局融资担保公司行政处罚裁量标准</w:t>
      </w:r>
    </w:p>
    <w:p>
      <w:pPr>
        <w:spacing w:line="720" w:lineRule="exact"/>
        <w:jc w:val="left"/>
        <w:rPr>
          <w:rFonts w:hint="eastAsia" w:ascii="宋体" w:hAnsi="宋体" w:eastAsia="宋体" w:cs="宋体"/>
          <w:sz w:val="24"/>
          <w:szCs w:val="24"/>
        </w:rPr>
      </w:pPr>
      <w:r>
        <w:rPr>
          <w:rFonts w:hint="eastAsia" w:ascii="宋体" w:hAnsi="宋体" w:eastAsia="宋体" w:cs="宋体"/>
          <w:sz w:val="24"/>
          <w:szCs w:val="24"/>
        </w:rPr>
        <w:t>实施主体：</w:t>
      </w:r>
      <w:r>
        <w:rPr>
          <w:rFonts w:hint="eastAsia" w:ascii="宋体" w:hAnsi="宋体" w:eastAsia="宋体" w:cs="宋体"/>
          <w:sz w:val="24"/>
          <w:szCs w:val="24"/>
          <w:u w:val="none"/>
          <w:lang w:eastAsia="zh-CN"/>
        </w:rPr>
        <w:t>广东省地方金融监督管理局</w:t>
      </w:r>
    </w:p>
    <w:tbl>
      <w:tblPr>
        <w:tblStyle w:val="21"/>
        <w:tblW w:w="13880" w:type="dxa"/>
        <w:jc w:val="center"/>
        <w:tblInd w:w="-5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9"/>
        <w:gridCol w:w="1878"/>
        <w:gridCol w:w="4139"/>
        <w:gridCol w:w="1306"/>
        <w:gridCol w:w="1066"/>
        <w:gridCol w:w="987"/>
        <w:gridCol w:w="2707"/>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tblHeader/>
          <w:jc w:val="center"/>
        </w:trPr>
        <w:tc>
          <w:tcPr>
            <w:tcW w:w="979" w:type="dxa"/>
            <w:vAlign w:val="center"/>
          </w:tcPr>
          <w:p>
            <w:pPr>
              <w:jc w:val="center"/>
              <w:rPr>
                <w:rFonts w:hint="eastAsia" w:ascii="仿宋" w:hAnsi="仿宋" w:eastAsia="仿宋" w:cs="仿宋"/>
                <w:sz w:val="28"/>
                <w:szCs w:val="28"/>
              </w:rPr>
            </w:pPr>
            <w:r>
              <w:rPr>
                <w:rFonts w:hint="eastAsia" w:ascii="黑体" w:hAnsi="黑体" w:eastAsia="黑体" w:cs="黑体"/>
                <w:sz w:val="24"/>
              </w:rPr>
              <w:t>序号</w:t>
            </w:r>
          </w:p>
        </w:tc>
        <w:tc>
          <w:tcPr>
            <w:tcW w:w="1878" w:type="dxa"/>
            <w:vAlign w:val="center"/>
          </w:tcPr>
          <w:p>
            <w:pPr>
              <w:jc w:val="center"/>
              <w:rPr>
                <w:rFonts w:hint="eastAsia" w:ascii="黑体" w:hAnsi="黑体" w:eastAsia="黑体" w:cs="黑体"/>
                <w:sz w:val="24"/>
              </w:rPr>
            </w:pPr>
            <w:r>
              <w:rPr>
                <w:rFonts w:hint="eastAsia" w:ascii="黑体" w:hAnsi="黑体" w:eastAsia="黑体" w:cs="黑体"/>
                <w:sz w:val="24"/>
              </w:rPr>
              <w:t>行政处罚项目</w:t>
            </w:r>
          </w:p>
        </w:tc>
        <w:tc>
          <w:tcPr>
            <w:tcW w:w="4139" w:type="dxa"/>
            <w:vAlign w:val="center"/>
          </w:tcPr>
          <w:p>
            <w:pPr>
              <w:jc w:val="center"/>
              <w:rPr>
                <w:rFonts w:hint="eastAsia" w:ascii="仿宋" w:hAnsi="仿宋" w:eastAsia="仿宋" w:cs="仿宋"/>
                <w:sz w:val="28"/>
                <w:szCs w:val="28"/>
              </w:rPr>
            </w:pPr>
            <w:r>
              <w:rPr>
                <w:rFonts w:hint="eastAsia" w:ascii="黑体" w:hAnsi="黑体" w:eastAsia="黑体" w:cs="黑体"/>
                <w:sz w:val="24"/>
              </w:rPr>
              <w:t>违反条款</w:t>
            </w:r>
          </w:p>
        </w:tc>
        <w:tc>
          <w:tcPr>
            <w:tcW w:w="1306" w:type="dxa"/>
            <w:vAlign w:val="center"/>
          </w:tcPr>
          <w:p>
            <w:pPr>
              <w:jc w:val="center"/>
              <w:rPr>
                <w:rFonts w:hint="eastAsia" w:ascii="仿宋" w:hAnsi="仿宋" w:eastAsia="仿宋" w:cs="仿宋"/>
                <w:sz w:val="28"/>
                <w:szCs w:val="28"/>
              </w:rPr>
            </w:pPr>
            <w:r>
              <w:rPr>
                <w:rFonts w:hint="eastAsia" w:ascii="黑体" w:hAnsi="黑体" w:eastAsia="黑体" w:cs="黑体"/>
                <w:sz w:val="24"/>
              </w:rPr>
              <w:t>处罚依据</w:t>
            </w:r>
          </w:p>
        </w:tc>
        <w:tc>
          <w:tcPr>
            <w:tcW w:w="1066" w:type="dxa"/>
            <w:vAlign w:val="center"/>
          </w:tcPr>
          <w:p>
            <w:pPr>
              <w:jc w:val="center"/>
              <w:rPr>
                <w:rFonts w:hint="eastAsia" w:ascii="仿宋" w:hAnsi="仿宋" w:eastAsia="仿宋" w:cs="仿宋"/>
                <w:sz w:val="28"/>
                <w:szCs w:val="28"/>
              </w:rPr>
            </w:pPr>
            <w:r>
              <w:rPr>
                <w:rFonts w:hint="eastAsia" w:ascii="黑体" w:hAnsi="黑体" w:eastAsia="黑体" w:cs="黑体"/>
                <w:sz w:val="24"/>
              </w:rPr>
              <w:t>处罚  种类</w:t>
            </w:r>
          </w:p>
        </w:tc>
        <w:tc>
          <w:tcPr>
            <w:tcW w:w="987" w:type="dxa"/>
            <w:vAlign w:val="center"/>
          </w:tcPr>
          <w:p>
            <w:pPr>
              <w:jc w:val="center"/>
              <w:rPr>
                <w:rFonts w:hint="eastAsia" w:ascii="黑体" w:hAnsi="黑体" w:eastAsia="黑体" w:cs="黑体"/>
                <w:sz w:val="24"/>
              </w:rPr>
            </w:pPr>
            <w:r>
              <w:rPr>
                <w:rFonts w:hint="eastAsia" w:ascii="黑体" w:hAnsi="黑体" w:eastAsia="黑体" w:cs="黑体"/>
                <w:sz w:val="24"/>
              </w:rPr>
              <w:t>裁量</w:t>
            </w:r>
          </w:p>
          <w:p>
            <w:pPr>
              <w:jc w:val="center"/>
              <w:rPr>
                <w:rFonts w:hint="eastAsia" w:ascii="仿宋" w:hAnsi="仿宋" w:eastAsia="仿宋" w:cs="仿宋"/>
                <w:sz w:val="28"/>
                <w:szCs w:val="28"/>
              </w:rPr>
            </w:pPr>
            <w:r>
              <w:rPr>
                <w:rFonts w:hint="eastAsia" w:ascii="黑体" w:hAnsi="黑体" w:eastAsia="黑体" w:cs="黑体"/>
                <w:sz w:val="24"/>
              </w:rPr>
              <w:t>档次</w:t>
            </w:r>
          </w:p>
        </w:tc>
        <w:tc>
          <w:tcPr>
            <w:tcW w:w="2707" w:type="dxa"/>
            <w:vAlign w:val="center"/>
          </w:tcPr>
          <w:p>
            <w:pPr>
              <w:jc w:val="center"/>
              <w:rPr>
                <w:rFonts w:hint="eastAsia" w:ascii="仿宋" w:hAnsi="仿宋" w:eastAsia="仿宋" w:cs="仿宋"/>
                <w:sz w:val="28"/>
                <w:szCs w:val="28"/>
              </w:rPr>
            </w:pPr>
            <w:r>
              <w:rPr>
                <w:rFonts w:hint="eastAsia" w:ascii="黑体" w:hAnsi="黑体" w:eastAsia="黑体" w:cs="黑体"/>
                <w:sz w:val="24"/>
              </w:rPr>
              <w:t>裁量标准</w:t>
            </w:r>
          </w:p>
        </w:tc>
        <w:tc>
          <w:tcPr>
            <w:tcW w:w="818" w:type="dxa"/>
            <w:vAlign w:val="center"/>
          </w:tcPr>
          <w:p>
            <w:pPr>
              <w:jc w:val="center"/>
              <w:rPr>
                <w:rFonts w:hint="eastAsia" w:ascii="黑体" w:hAnsi="黑体" w:eastAsia="黑体" w:cs="黑体"/>
                <w:sz w:val="24"/>
              </w:rPr>
            </w:pPr>
            <w:r>
              <w:rPr>
                <w:rFonts w:hint="eastAsia" w:ascii="黑体" w:hAnsi="黑体" w:eastAsia="黑体" w:cs="黑体"/>
                <w:sz w:val="24"/>
              </w:rPr>
              <w:t>实施 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restart"/>
            <w:vAlign w:val="center"/>
          </w:tcPr>
          <w:p>
            <w:pPr>
              <w:jc w:val="center"/>
              <w:rPr>
                <w:rFonts w:hint="eastAsia" w:ascii="宋体" w:hAnsi="宋体" w:eastAsia="宋体" w:cs="宋体"/>
                <w:sz w:val="24"/>
              </w:rPr>
            </w:pPr>
            <w:r>
              <w:rPr>
                <w:rFonts w:hint="eastAsia" w:ascii="宋体" w:hAnsi="宋体" w:eastAsia="宋体" w:cs="宋体"/>
                <w:sz w:val="24"/>
              </w:rPr>
              <w:t>1</w:t>
            </w:r>
          </w:p>
        </w:tc>
        <w:tc>
          <w:tcPr>
            <w:tcW w:w="1878" w:type="dxa"/>
            <w:vMerge w:val="restart"/>
            <w:vAlign w:val="center"/>
          </w:tcPr>
          <w:p>
            <w:pPr>
              <w:jc w:val="both"/>
              <w:rPr>
                <w:rFonts w:hint="eastAsia" w:ascii="宋体" w:hAnsi="宋体" w:eastAsia="宋体" w:cs="宋体"/>
                <w:sz w:val="21"/>
                <w:szCs w:val="21"/>
              </w:rPr>
            </w:pPr>
            <w:r>
              <w:rPr>
                <w:rFonts w:hint="eastAsia" w:ascii="宋体" w:hAnsi="宋体" w:eastAsia="宋体" w:cs="宋体"/>
                <w:b/>
                <w:bCs/>
                <w:sz w:val="16"/>
                <w:szCs w:val="16"/>
              </w:rPr>
              <w:t>未经批准擅自设立融资担保公司或者经营融资担保业务</w:t>
            </w:r>
          </w:p>
        </w:tc>
        <w:tc>
          <w:tcPr>
            <w:tcW w:w="4139" w:type="dxa"/>
            <w:vMerge w:val="restart"/>
            <w:vAlign w:val="center"/>
          </w:tcPr>
          <w:p>
            <w:pPr>
              <w:jc w:val="both"/>
              <w:rPr>
                <w:rFonts w:hint="eastAsia" w:ascii="宋体" w:hAnsi="宋体" w:eastAsia="宋体" w:cs="宋体"/>
                <w:sz w:val="21"/>
                <w:szCs w:val="21"/>
              </w:rPr>
            </w:pPr>
            <w:r>
              <w:rPr>
                <w:rFonts w:hint="eastAsia" w:ascii="宋体" w:hAnsi="宋体" w:eastAsia="宋体" w:cs="宋体"/>
                <w:sz w:val="16"/>
                <w:szCs w:val="16"/>
              </w:rPr>
              <w:t>第三十六条第一款“违反本条例规定，未经批准擅自设立融资担保公司或者经营融资担保业务的，由监督管理部门予以取缔或者责令停止经营，处50万元以上100万元以下的罚款，有违法所得的，没收违法所得；构成犯罪的，依法追究刑事责任”。</w:t>
            </w:r>
          </w:p>
        </w:tc>
        <w:tc>
          <w:tcPr>
            <w:tcW w:w="1306" w:type="dxa"/>
            <w:vMerge w:val="restart"/>
            <w:vAlign w:val="center"/>
          </w:tcPr>
          <w:p>
            <w:pPr>
              <w:jc w:val="both"/>
              <w:rPr>
                <w:rFonts w:hint="eastAsia" w:ascii="宋体" w:hAnsi="宋体" w:eastAsia="宋体" w:cs="宋体"/>
                <w:sz w:val="21"/>
                <w:szCs w:val="21"/>
              </w:rPr>
            </w:pPr>
            <w:r>
              <w:rPr>
                <w:rFonts w:hint="eastAsia" w:ascii="宋体" w:hAnsi="宋体" w:eastAsia="宋体" w:cs="宋体"/>
                <w:sz w:val="16"/>
                <w:szCs w:val="16"/>
                <w:lang w:eastAsia="zh-CN"/>
              </w:rPr>
              <w:t>《</w:t>
            </w:r>
            <w:r>
              <w:rPr>
                <w:rFonts w:hint="eastAsia" w:ascii="宋体" w:hAnsi="宋体" w:eastAsia="宋体" w:cs="宋体"/>
                <w:sz w:val="16"/>
                <w:szCs w:val="16"/>
              </w:rPr>
              <w:t>融资担保公司监督管理条例</w:t>
            </w:r>
            <w:r>
              <w:rPr>
                <w:rFonts w:hint="eastAsia" w:ascii="宋体" w:hAnsi="宋体" w:eastAsia="宋体" w:cs="宋体"/>
                <w:sz w:val="16"/>
                <w:szCs w:val="16"/>
                <w:lang w:eastAsia="zh-CN"/>
              </w:rPr>
              <w:t>》</w:t>
            </w:r>
          </w:p>
        </w:tc>
        <w:tc>
          <w:tcPr>
            <w:tcW w:w="1066" w:type="dxa"/>
            <w:vMerge w:val="restart"/>
            <w:vAlign w:val="center"/>
          </w:tcPr>
          <w:p>
            <w:pPr>
              <w:spacing w:line="300" w:lineRule="exact"/>
              <w:jc w:val="both"/>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top"/>
          </w:tcPr>
          <w:p>
            <w:pPr>
              <w:jc w:val="both"/>
              <w:rPr>
                <w:rFonts w:hint="eastAsia" w:ascii="宋体" w:hAnsi="宋体" w:eastAsia="宋体" w:cs="宋体"/>
                <w:sz w:val="28"/>
                <w:szCs w:val="28"/>
              </w:rPr>
            </w:pPr>
            <w:r>
              <w:rPr>
                <w:rFonts w:hint="eastAsia" w:ascii="宋体" w:hAnsi="宋体" w:eastAsia="宋体" w:cs="宋体"/>
                <w:sz w:val="16"/>
                <w:szCs w:val="16"/>
              </w:rPr>
              <w:t>予以取缔或者责令停止经营，处50万元以上65万元以下的罚款，有违法所得的，没收违法所得</w:t>
            </w:r>
          </w:p>
        </w:tc>
        <w:tc>
          <w:tcPr>
            <w:tcW w:w="818" w:type="dxa"/>
            <w:vMerge w:val="restart"/>
            <w:vAlign w:val="center"/>
          </w:tcPr>
          <w:p>
            <w:pPr>
              <w:jc w:val="both"/>
              <w:rPr>
                <w:rFonts w:hint="eastAsia" w:ascii="仿宋" w:hAnsi="仿宋" w:eastAsia="仿宋" w:cs="仿宋"/>
                <w:sz w:val="28"/>
                <w:szCs w:val="28"/>
                <w:lang w:eastAsia="zh-CN"/>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top"/>
          </w:tcPr>
          <w:p>
            <w:pPr>
              <w:jc w:val="center"/>
              <w:rPr>
                <w:rFonts w:hint="eastAsia" w:ascii="宋体" w:hAnsi="宋体" w:eastAsia="宋体" w:cs="宋体"/>
                <w:sz w:val="28"/>
                <w:szCs w:val="28"/>
              </w:rPr>
            </w:pPr>
          </w:p>
        </w:tc>
        <w:tc>
          <w:tcPr>
            <w:tcW w:w="1878" w:type="dxa"/>
            <w:vMerge w:val="continue"/>
            <w:vAlign w:val="top"/>
          </w:tcPr>
          <w:p>
            <w:pPr>
              <w:jc w:val="both"/>
              <w:rPr>
                <w:rFonts w:hint="eastAsia" w:ascii="宋体" w:hAnsi="宋体" w:eastAsia="宋体" w:cs="宋体"/>
                <w:sz w:val="28"/>
                <w:szCs w:val="28"/>
              </w:rPr>
            </w:pPr>
          </w:p>
        </w:tc>
        <w:tc>
          <w:tcPr>
            <w:tcW w:w="4139" w:type="dxa"/>
            <w:vMerge w:val="continue"/>
            <w:vAlign w:val="top"/>
          </w:tcPr>
          <w:p>
            <w:pPr>
              <w:jc w:val="both"/>
              <w:rPr>
                <w:rFonts w:hint="eastAsia" w:ascii="宋体" w:hAnsi="宋体" w:eastAsia="宋体" w:cs="宋体"/>
                <w:sz w:val="28"/>
                <w:szCs w:val="28"/>
              </w:rPr>
            </w:pPr>
          </w:p>
        </w:tc>
        <w:tc>
          <w:tcPr>
            <w:tcW w:w="1306" w:type="dxa"/>
            <w:vMerge w:val="continue"/>
            <w:vAlign w:val="top"/>
          </w:tcPr>
          <w:p>
            <w:pPr>
              <w:jc w:val="both"/>
              <w:rPr>
                <w:rFonts w:hint="eastAsia" w:ascii="宋体" w:hAnsi="宋体" w:eastAsia="宋体" w:cs="宋体"/>
                <w:sz w:val="28"/>
                <w:szCs w:val="28"/>
              </w:rPr>
            </w:pPr>
          </w:p>
        </w:tc>
        <w:tc>
          <w:tcPr>
            <w:tcW w:w="1066" w:type="dxa"/>
            <w:vMerge w:val="continue"/>
            <w:vAlign w:val="top"/>
          </w:tcPr>
          <w:p>
            <w:pPr>
              <w:jc w:val="both"/>
              <w:rPr>
                <w:rFonts w:hint="eastAsia" w:ascii="宋体" w:hAnsi="宋体" w:eastAsia="宋体" w:cs="宋体"/>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宋体" w:hAnsi="宋体" w:eastAsia="宋体" w:cs="宋体"/>
                <w:sz w:val="28"/>
                <w:szCs w:val="28"/>
              </w:rPr>
            </w:pPr>
            <w:r>
              <w:rPr>
                <w:rFonts w:hint="eastAsia" w:ascii="宋体" w:hAnsi="宋体" w:eastAsia="宋体" w:cs="宋体"/>
                <w:sz w:val="16"/>
                <w:szCs w:val="16"/>
              </w:rPr>
              <w:t>予以取缔或者责令停止经营，处65万元以上85万元以下的罚款，有违法所得的，没收违法所得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center"/>
          </w:tcPr>
          <w:p>
            <w:pPr>
              <w:jc w:val="center"/>
              <w:rPr>
                <w:rFonts w:hint="eastAsia" w:ascii="宋体" w:hAnsi="宋体" w:eastAsia="宋体" w:cs="宋体"/>
                <w:sz w:val="28"/>
                <w:szCs w:val="28"/>
              </w:rPr>
            </w:pPr>
          </w:p>
        </w:tc>
        <w:tc>
          <w:tcPr>
            <w:tcW w:w="1878" w:type="dxa"/>
            <w:vMerge w:val="continue"/>
            <w:vAlign w:val="center"/>
          </w:tcPr>
          <w:p>
            <w:pPr>
              <w:jc w:val="both"/>
              <w:rPr>
                <w:rFonts w:hint="eastAsia" w:ascii="宋体" w:hAnsi="宋体" w:eastAsia="宋体" w:cs="宋体"/>
                <w:sz w:val="28"/>
                <w:szCs w:val="28"/>
              </w:rPr>
            </w:pPr>
          </w:p>
        </w:tc>
        <w:tc>
          <w:tcPr>
            <w:tcW w:w="4139" w:type="dxa"/>
            <w:vMerge w:val="continue"/>
            <w:vAlign w:val="center"/>
          </w:tcPr>
          <w:p>
            <w:pPr>
              <w:jc w:val="both"/>
              <w:rPr>
                <w:rFonts w:hint="eastAsia" w:ascii="宋体" w:hAnsi="宋体" w:eastAsia="宋体" w:cs="宋体"/>
                <w:sz w:val="28"/>
                <w:szCs w:val="28"/>
              </w:rPr>
            </w:pPr>
          </w:p>
        </w:tc>
        <w:tc>
          <w:tcPr>
            <w:tcW w:w="1306" w:type="dxa"/>
            <w:vMerge w:val="continue"/>
            <w:vAlign w:val="center"/>
          </w:tcPr>
          <w:p>
            <w:pPr>
              <w:jc w:val="both"/>
              <w:rPr>
                <w:rFonts w:hint="eastAsia" w:ascii="宋体" w:hAnsi="宋体" w:eastAsia="宋体" w:cs="宋体"/>
                <w:sz w:val="28"/>
                <w:szCs w:val="28"/>
              </w:rPr>
            </w:pPr>
          </w:p>
        </w:tc>
        <w:tc>
          <w:tcPr>
            <w:tcW w:w="1066" w:type="dxa"/>
            <w:vMerge w:val="continue"/>
            <w:vAlign w:val="center"/>
          </w:tcPr>
          <w:p>
            <w:pPr>
              <w:jc w:val="both"/>
              <w:rPr>
                <w:rFonts w:hint="eastAsia" w:ascii="宋体" w:hAnsi="宋体" w:eastAsia="宋体" w:cs="宋体"/>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宋体" w:hAnsi="宋体" w:eastAsia="宋体" w:cs="宋体"/>
                <w:sz w:val="13"/>
                <w:szCs w:val="13"/>
              </w:rPr>
            </w:pPr>
            <w:r>
              <w:rPr>
                <w:rFonts w:hint="eastAsia" w:ascii="宋体" w:hAnsi="宋体" w:eastAsia="宋体" w:cs="宋体"/>
                <w:sz w:val="16"/>
                <w:szCs w:val="16"/>
              </w:rPr>
              <w:t>予以取缔或者责令停止经营，处85万元以上100万元以下的罚款，有违法所得的，没收违法所得</w:t>
            </w:r>
            <w:r>
              <w:rPr>
                <w:rFonts w:hint="eastAsia" w:ascii="宋体" w:hAnsi="宋体" w:eastAsia="宋体" w:cs="宋体"/>
                <w:color w:val="000000"/>
                <w:kern w:val="0"/>
                <w:sz w:val="13"/>
                <w:szCs w:val="13"/>
              </w:rPr>
              <w:t xml:space="preserve"> </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2</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未经批准在名称中使用融资担保字样，责令限期改正后逾期不改正的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第三十六条第二款“违反本条例规定，未经批准在名称中使用融资担保字样的，由监督管理部门责令限期改正；逾期不改正的，处5万元以上10万元以下的罚款，有违法所得的，没收违法所得”。</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逾期不改正的，处5万元以上</w:t>
            </w:r>
            <w:r>
              <w:rPr>
                <w:rFonts w:ascii="宋体" w:hAnsi="宋体" w:eastAsia="宋体"/>
                <w:sz w:val="16"/>
                <w:szCs w:val="16"/>
              </w:rPr>
              <w:t>6.5</w:t>
            </w:r>
            <w:r>
              <w:rPr>
                <w:rFonts w:hint="eastAsia" w:ascii="宋体" w:hAnsi="宋体" w:eastAsia="宋体"/>
                <w:sz w:val="16"/>
                <w:szCs w:val="16"/>
              </w:rPr>
              <w:t>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top"/>
          </w:tcPr>
          <w:p>
            <w:pPr>
              <w:jc w:val="center"/>
              <w:rPr>
                <w:rFonts w:hint="eastAsia" w:ascii="宋体" w:hAnsi="宋体" w:eastAsia="宋体" w:cs="宋体"/>
                <w:sz w:val="24"/>
                <w:szCs w:val="24"/>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逾期不改正的，处6</w:t>
            </w:r>
            <w:r>
              <w:rPr>
                <w:rFonts w:ascii="宋体" w:hAnsi="宋体" w:eastAsia="宋体"/>
                <w:sz w:val="16"/>
                <w:szCs w:val="16"/>
              </w:rPr>
              <w:t>.5</w:t>
            </w:r>
            <w:r>
              <w:rPr>
                <w:rFonts w:hint="eastAsia" w:ascii="宋体" w:hAnsi="宋体" w:eastAsia="宋体"/>
                <w:sz w:val="16"/>
                <w:szCs w:val="16"/>
              </w:rPr>
              <w:t>万元以上</w:t>
            </w:r>
            <w:r>
              <w:rPr>
                <w:rFonts w:ascii="宋体" w:hAnsi="宋体" w:eastAsia="宋体"/>
                <w:sz w:val="16"/>
                <w:szCs w:val="16"/>
              </w:rPr>
              <w:t>8.5</w:t>
            </w:r>
            <w:r>
              <w:rPr>
                <w:rFonts w:hint="eastAsia" w:ascii="宋体" w:hAnsi="宋体" w:eastAsia="宋体"/>
                <w:sz w:val="16"/>
                <w:szCs w:val="16"/>
              </w:rPr>
              <w:t>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7"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逾期不改正的，处</w:t>
            </w:r>
            <w:r>
              <w:rPr>
                <w:rFonts w:ascii="宋体" w:hAnsi="宋体" w:eastAsia="宋体"/>
                <w:sz w:val="16"/>
                <w:szCs w:val="16"/>
              </w:rPr>
              <w:t>8.5</w:t>
            </w:r>
            <w:r>
              <w:rPr>
                <w:rFonts w:hint="eastAsia" w:ascii="宋体" w:hAnsi="宋体" w:eastAsia="宋体"/>
                <w:sz w:val="16"/>
                <w:szCs w:val="16"/>
              </w:rPr>
              <w:t>万元以上10万元以下的罚款，有违法所得的，没收违法所得</w:t>
            </w:r>
            <w:r>
              <w:rPr>
                <w:rFonts w:hint="eastAsia" w:ascii="仿宋" w:hAnsi="仿宋" w:eastAsia="仿宋" w:cs="仿宋"/>
                <w:color w:val="000000"/>
                <w:kern w:val="0"/>
                <w:sz w:val="13"/>
                <w:szCs w:val="13"/>
              </w:rPr>
              <w:t xml:space="preserve"> </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2"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融资担保公司未经批准合并或者分立；未经批准减少注册资本；未经批准跨省、自治区、直辖市设立分支机构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七条“融资担保公司有下列情形之一的，由监督管理部门责令限期改正，处10万元以上50万元以下的罚款，有违法所得的，没收违法所得；逾期不改正的，责令停业整顿，情节严重的，吊销其融资担保业务经营许可证：（一）未经批准合并或者分立；（二）未经批准减少注册资本”；（三）未经批准跨省、自治区、直辖市设立分支机构”</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宋体" w:cs="仿宋"/>
                <w:sz w:val="18"/>
                <w:szCs w:val="18"/>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责令限期改正，处10万元以上</w:t>
            </w:r>
            <w:r>
              <w:rPr>
                <w:rFonts w:ascii="宋体" w:hAnsi="宋体" w:eastAsia="宋体"/>
                <w:sz w:val="16"/>
                <w:szCs w:val="16"/>
              </w:rPr>
              <w:t>22</w:t>
            </w:r>
            <w:r>
              <w:rPr>
                <w:rFonts w:hint="eastAsia" w:ascii="宋体" w:hAnsi="宋体" w:eastAsia="宋体"/>
                <w:sz w:val="16"/>
                <w:szCs w:val="16"/>
              </w:rPr>
              <w:t>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7"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责令限期改正，处2</w:t>
            </w:r>
            <w:r>
              <w:rPr>
                <w:rFonts w:ascii="宋体" w:hAnsi="宋体" w:eastAsia="宋体"/>
                <w:sz w:val="16"/>
                <w:szCs w:val="16"/>
              </w:rPr>
              <w:t>2</w:t>
            </w:r>
            <w:r>
              <w:rPr>
                <w:rFonts w:hint="eastAsia" w:ascii="宋体" w:hAnsi="宋体" w:eastAsia="宋体"/>
                <w:sz w:val="16"/>
                <w:szCs w:val="16"/>
              </w:rPr>
              <w:t>万元以上</w:t>
            </w:r>
            <w:r>
              <w:rPr>
                <w:rFonts w:ascii="宋体" w:hAnsi="宋体" w:eastAsia="宋体"/>
                <w:sz w:val="16"/>
                <w:szCs w:val="16"/>
              </w:rPr>
              <w:t>38</w:t>
            </w:r>
            <w:r>
              <w:rPr>
                <w:rFonts w:hint="eastAsia" w:ascii="宋体" w:hAnsi="宋体" w:eastAsia="宋体"/>
                <w:sz w:val="16"/>
                <w:szCs w:val="16"/>
              </w:rPr>
              <w:t>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6"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责令限期改正，处</w:t>
            </w:r>
            <w:r>
              <w:rPr>
                <w:rFonts w:ascii="宋体" w:hAnsi="宋体" w:eastAsia="宋体"/>
                <w:sz w:val="16"/>
                <w:szCs w:val="16"/>
              </w:rPr>
              <w:t>38</w:t>
            </w:r>
            <w:r>
              <w:rPr>
                <w:rFonts w:hint="eastAsia" w:ascii="宋体" w:hAnsi="宋体" w:eastAsia="宋体"/>
                <w:sz w:val="16"/>
                <w:szCs w:val="16"/>
              </w:rPr>
              <w:t>万元以上50万元以下的罚款，有违法所得的，没收违法所得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融资担保公司未经批准合并或者分立、减少注册资本、跨省、自治区、直辖市设立分支机构，责令限期改正后逾期不改正的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七条“融资担保公司有下列情形之一的，由监督管理部门责令限期改正，处10万元以上50万元以下的罚款，有违法所得的，没收违法所得；逾期不改正的，责令停业整顿，情节严重的，吊销其融资担保业务经营许可证：（一）未经批准合并或者分立；（二）未经批准减少注册资本”；（三）未经批准跨省、自治区、直辖市设立分支机构”。</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宋体" w:hAnsi="宋体" w:eastAsia="宋体"/>
                <w:sz w:val="16"/>
                <w:szCs w:val="16"/>
              </w:rPr>
              <w:t>责令停业整顿</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9"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吊销融资担保业务经营许可证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融资担保公司变更相关事项，未按规定备案，或者变更后的相关事项不符合规定，责令限期改正后逾期不改正的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八条“融资担保公司变更相关事项，未按照本条例规定备案，或者变更后的相关事项不符合本条例规定的，由监督管理部门责令限期改正；逾期不改正的，处5万元以上10万元以下的罚款，情节严重的，责令停业整顿”。</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处5万元以上</w:t>
            </w:r>
            <w:r>
              <w:rPr>
                <w:rFonts w:ascii="宋体" w:hAnsi="宋体" w:eastAsia="宋体"/>
                <w:sz w:val="16"/>
                <w:szCs w:val="16"/>
              </w:rPr>
              <w:t>6.5</w:t>
            </w:r>
            <w:r>
              <w:rPr>
                <w:rFonts w:hint="eastAsia" w:ascii="宋体" w:hAnsi="宋体" w:eastAsia="宋体"/>
                <w:sz w:val="16"/>
                <w:szCs w:val="16"/>
              </w:rPr>
              <w:t>万元以下的罚款</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w:t>
            </w:r>
            <w:r>
              <w:rPr>
                <w:rFonts w:ascii="宋体" w:hAnsi="宋体" w:eastAsia="宋体"/>
                <w:sz w:val="16"/>
                <w:szCs w:val="16"/>
              </w:rPr>
              <w:t>6.5</w:t>
            </w:r>
            <w:r>
              <w:rPr>
                <w:rFonts w:hint="eastAsia" w:ascii="宋体" w:hAnsi="宋体" w:eastAsia="宋体"/>
                <w:sz w:val="16"/>
                <w:szCs w:val="16"/>
              </w:rPr>
              <w:t>万元以上8</w:t>
            </w:r>
            <w:r>
              <w:rPr>
                <w:rFonts w:ascii="宋体" w:hAnsi="宋体" w:eastAsia="宋体"/>
                <w:sz w:val="16"/>
                <w:szCs w:val="16"/>
              </w:rPr>
              <w:t>.5</w:t>
            </w:r>
            <w:r>
              <w:rPr>
                <w:rFonts w:hint="eastAsia" w:ascii="宋体" w:hAnsi="宋体" w:eastAsia="宋体"/>
                <w:sz w:val="16"/>
                <w:szCs w:val="16"/>
              </w:rPr>
              <w:t>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处</w:t>
            </w:r>
            <w:r>
              <w:rPr>
                <w:rFonts w:ascii="宋体" w:hAnsi="宋体" w:eastAsia="宋体"/>
                <w:sz w:val="16"/>
                <w:szCs w:val="16"/>
              </w:rPr>
              <w:t>8.5</w:t>
            </w:r>
            <w:r>
              <w:rPr>
                <w:rFonts w:hint="eastAsia" w:ascii="宋体" w:hAnsi="宋体" w:eastAsia="宋体"/>
                <w:sz w:val="16"/>
                <w:szCs w:val="16"/>
              </w:rPr>
              <w:t>万元以上10万元以下的罚款，并责令停业整顿</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融资担保公司受托投资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九条第一款“融资担保公司受托投资的，由监督管理部门责令限期改正，处50万元以上100万元以下的罚款，有违法所得的，没收违法所得；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宋体" w:cs="仿宋"/>
                <w:sz w:val="18"/>
                <w:szCs w:val="18"/>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责令限期改正，处50万元以上65万元以下的罚款，有违法所得的，没收违法所得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979" w:type="dxa"/>
            <w:vMerge w:val="continue"/>
            <w:vAlign w:val="top"/>
          </w:tcPr>
          <w:p>
            <w:pPr>
              <w:jc w:val="center"/>
              <w:rPr>
                <w:rFonts w:hint="eastAsia" w:ascii="宋体" w:hAnsi="宋体" w:eastAsia="宋体" w:cs="宋体"/>
                <w:sz w:val="24"/>
                <w:szCs w:val="24"/>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top"/>
          </w:tcPr>
          <w:p>
            <w:pPr>
              <w:jc w:val="both"/>
              <w:rPr>
                <w:rFonts w:hint="eastAsia" w:ascii="仿宋" w:hAnsi="仿宋" w:eastAsia="仿宋" w:cs="仿宋"/>
                <w:sz w:val="28"/>
                <w:szCs w:val="28"/>
              </w:rPr>
            </w:pPr>
            <w:r>
              <w:rPr>
                <w:rFonts w:hint="eastAsia" w:ascii="宋体" w:hAnsi="宋体" w:eastAsia="宋体"/>
                <w:sz w:val="16"/>
                <w:szCs w:val="16"/>
              </w:rPr>
              <w:t>责令限期改正，处65万元以上85万元以下的罚款，有违法所得的，没收违法所得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2"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责令限期改正，处85万元以上100万元以下的罚款，有违法所得的，没收违法所得</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融资担保公司受托投资，</w:t>
            </w:r>
            <w:r>
              <w:rPr>
                <w:rFonts w:hint="eastAsia" w:ascii="宋体" w:hAnsi="宋体" w:eastAsia="宋体"/>
                <w:b/>
                <w:sz w:val="16"/>
                <w:szCs w:val="16"/>
                <w:lang w:eastAsia="zh-CN"/>
              </w:rPr>
              <w:t>责令限期改正</w:t>
            </w:r>
            <w:r>
              <w:rPr>
                <w:rFonts w:hint="eastAsia" w:ascii="宋体" w:hAnsi="宋体" w:eastAsia="宋体"/>
                <w:b/>
                <w:sz w:val="16"/>
                <w:szCs w:val="16"/>
              </w:rPr>
              <w:t>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三十九条第一款“融资担保公司受托投资的，由监督管理部门责令限期改正，处50万元以上100万元以下的罚款，有违法所得的，没收违法所得；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责令停业整顿</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0"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仿宋" w:hAnsi="仿宋" w:eastAsia="仿宋" w:cs="仿宋"/>
                <w:color w:val="000000"/>
                <w:kern w:val="0"/>
                <w:sz w:val="13"/>
                <w:szCs w:val="13"/>
              </w:rPr>
              <w:t xml:space="preserve"> </w:t>
            </w:r>
            <w:r>
              <w:rPr>
                <w:rFonts w:hint="eastAsia" w:ascii="宋体" w:hAnsi="宋体" w:eastAsia="宋体"/>
                <w:sz w:val="16"/>
                <w:szCs w:val="16"/>
              </w:rPr>
              <w:t>吊销融资担保业务经营许可证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7"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担保责任余额与其净资产的比例不符合规定、为控股股东、实际控制人提供融资担保，或者为其他关联方提供融资担保的条件优于为非关联方提供同类担保的条件、未按照规定提取相应的准备金、自有资金的运用不符合国家有关融资担保公司资产安全性、流动性的规定，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条“融资担保公司有下列情形之一的，由监督管理部门责令限期改正；逾期不改正的，处10万元以上50万元以下的罚款，有违法所得的，没收违法所得，并可以责令停业整顿，情节严重的，吊销其融资担保业务经营许可证：（一）担保责任余额与其净资产的比例不符合规定；（二）为控股股东、实际控制人提供融资担保，或者为其他关联方提供融资担保的条件优于为非关联方提供同类担保的条件：（三）未按照规定提取相应的准备金：（四）自有资金的运用不符合国家有关融资担保公司资产安全性、流动性的规定”。</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宋体" w:cs="仿宋"/>
                <w:sz w:val="18"/>
                <w:szCs w:val="18"/>
                <w:lang w:eastAsia="zh-CN"/>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没收违法所得</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从</w:t>
            </w:r>
            <w:r>
              <w:rPr>
                <w:rFonts w:hint="eastAsia" w:ascii="宋体" w:hAnsi="宋体" w:eastAsia="宋体" w:cs="宋体"/>
                <w:sz w:val="16"/>
                <w:szCs w:val="16"/>
              </w:rPr>
              <w:t>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处10万元以上</w:t>
            </w:r>
            <w:r>
              <w:rPr>
                <w:rFonts w:ascii="宋体" w:hAnsi="宋体" w:eastAsia="宋体"/>
                <w:sz w:val="16"/>
                <w:szCs w:val="16"/>
              </w:rPr>
              <w:t>22</w:t>
            </w:r>
            <w:r>
              <w:rPr>
                <w:rFonts w:hint="eastAsia" w:ascii="宋体" w:hAnsi="宋体" w:eastAsia="宋体"/>
                <w:sz w:val="16"/>
                <w:szCs w:val="16"/>
              </w:rPr>
              <w:t>万元以下的罚款，有违法所得的，没收违法所得</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2" w:hRule="atLeast"/>
          <w:jc w:val="center"/>
        </w:trPr>
        <w:tc>
          <w:tcPr>
            <w:tcW w:w="979" w:type="dxa"/>
            <w:vMerge w:val="continue"/>
            <w:vAlign w:val="top"/>
          </w:tcPr>
          <w:p>
            <w:pPr>
              <w:jc w:val="center"/>
              <w:rPr>
                <w:rFonts w:hint="eastAsia" w:ascii="宋体" w:hAnsi="宋体" w:eastAsia="宋体" w:cs="宋体"/>
                <w:sz w:val="24"/>
                <w:szCs w:val="24"/>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w:t>
            </w:r>
            <w:r>
              <w:rPr>
                <w:rFonts w:ascii="宋体" w:hAnsi="宋体" w:eastAsia="宋体"/>
                <w:sz w:val="16"/>
                <w:szCs w:val="16"/>
              </w:rPr>
              <w:t>22</w:t>
            </w:r>
            <w:r>
              <w:rPr>
                <w:rFonts w:hint="eastAsia" w:ascii="宋体" w:hAnsi="宋体" w:eastAsia="宋体"/>
                <w:sz w:val="16"/>
                <w:szCs w:val="16"/>
              </w:rPr>
              <w:t>万元以上</w:t>
            </w:r>
            <w:r>
              <w:rPr>
                <w:rFonts w:ascii="宋体" w:hAnsi="宋体" w:eastAsia="宋体"/>
                <w:sz w:val="16"/>
                <w:szCs w:val="16"/>
              </w:rPr>
              <w:t>38</w:t>
            </w:r>
            <w:r>
              <w:rPr>
                <w:rFonts w:hint="eastAsia" w:ascii="宋体" w:hAnsi="宋体" w:eastAsia="宋体"/>
                <w:sz w:val="16"/>
                <w:szCs w:val="16"/>
              </w:rPr>
              <w:t>万元以下的罚款，有违法所得的，没收违法所得，并可以责令停业整顿</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处</w:t>
            </w:r>
            <w:r>
              <w:rPr>
                <w:rFonts w:ascii="宋体" w:hAnsi="宋体" w:eastAsia="宋体"/>
                <w:sz w:val="16"/>
                <w:szCs w:val="16"/>
              </w:rPr>
              <w:t>38</w:t>
            </w:r>
            <w:r>
              <w:rPr>
                <w:rFonts w:hint="eastAsia" w:ascii="宋体" w:hAnsi="宋体" w:eastAsia="宋体"/>
                <w:sz w:val="16"/>
                <w:szCs w:val="16"/>
              </w:rPr>
              <w:t>万元以上50万元以下的罚款，有违法所得的，没收违法所得，吊销其融资担保业务经营许可证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1878" w:type="dxa"/>
            <w:vMerge w:val="restart"/>
            <w:vAlign w:val="center"/>
          </w:tcPr>
          <w:p>
            <w:pPr>
              <w:rPr>
                <w:rFonts w:ascii="宋体" w:hAnsi="宋体" w:eastAsia="宋体"/>
                <w:b/>
                <w:sz w:val="16"/>
                <w:szCs w:val="16"/>
              </w:rPr>
            </w:pPr>
            <w:r>
              <w:rPr>
                <w:rFonts w:hint="eastAsia" w:ascii="宋体" w:hAnsi="宋体" w:eastAsia="宋体"/>
                <w:b/>
                <w:sz w:val="16"/>
                <w:szCs w:val="16"/>
              </w:rPr>
              <w:t>融资担保公司未按照要求向监督管理部门报送经营报告、财务报告、年度审计报告等文件、资料或者业务开展情况；</w:t>
            </w:r>
          </w:p>
          <w:p>
            <w:pPr>
              <w:jc w:val="both"/>
              <w:rPr>
                <w:rFonts w:hint="eastAsia" w:ascii="黑体" w:hAnsi="黑体" w:eastAsia="宋体" w:cs="黑体"/>
                <w:sz w:val="24"/>
                <w:lang w:eastAsia="zh-CN"/>
              </w:rPr>
            </w:pPr>
            <w:r>
              <w:rPr>
                <w:rFonts w:hint="eastAsia" w:ascii="宋体" w:hAnsi="宋体" w:eastAsia="宋体"/>
                <w:b/>
                <w:sz w:val="16"/>
                <w:szCs w:val="16"/>
              </w:rPr>
              <w:t>未报告公司发生的重大风险事件</w:t>
            </w:r>
            <w:r>
              <w:rPr>
                <w:rFonts w:hint="eastAsia" w:ascii="宋体" w:hAnsi="宋体" w:eastAsia="宋体"/>
                <w:b/>
                <w:sz w:val="16"/>
                <w:szCs w:val="16"/>
                <w:lang w:eastAsia="zh-CN"/>
              </w:rPr>
              <w:t>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第四十一条 “融资担保公司未按照要求向监督管理部门报送经营报告、财务报告、年度审计报告等文件、资料或者业务开展情况，或者未报告其发生的重大风险事件的，由监督管理部门责令限期改正，处5万元以上20万元以下的罚款；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责令限期改正，处5万元以上9</w:t>
            </w:r>
            <w:r>
              <w:rPr>
                <w:rFonts w:ascii="宋体" w:hAnsi="宋体" w:eastAsia="宋体"/>
                <w:sz w:val="16"/>
                <w:szCs w:val="16"/>
              </w:rPr>
              <w:t>.5</w:t>
            </w:r>
            <w:r>
              <w:rPr>
                <w:rFonts w:hint="eastAsia" w:ascii="宋体" w:hAnsi="宋体" w:eastAsia="宋体"/>
                <w:sz w:val="16"/>
                <w:szCs w:val="16"/>
              </w:rPr>
              <w:t>万元以下的罚款</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w:t>
            </w:r>
            <w:r>
              <w:rPr>
                <w:rFonts w:ascii="宋体" w:hAnsi="宋体" w:eastAsia="宋体"/>
                <w:sz w:val="16"/>
                <w:szCs w:val="16"/>
              </w:rPr>
              <w:t>9.5</w:t>
            </w:r>
            <w:r>
              <w:rPr>
                <w:rFonts w:hint="eastAsia" w:ascii="宋体" w:hAnsi="宋体" w:eastAsia="宋体"/>
                <w:sz w:val="16"/>
                <w:szCs w:val="16"/>
              </w:rPr>
              <w:t>万元以上</w:t>
            </w:r>
            <w:r>
              <w:rPr>
                <w:rFonts w:ascii="宋体" w:hAnsi="宋体" w:eastAsia="宋体"/>
                <w:sz w:val="16"/>
                <w:szCs w:val="16"/>
              </w:rPr>
              <w:t>15.5</w:t>
            </w:r>
            <w:r>
              <w:rPr>
                <w:rFonts w:hint="eastAsia" w:ascii="宋体" w:hAnsi="宋体" w:eastAsia="宋体"/>
                <w:sz w:val="16"/>
                <w:szCs w:val="16"/>
              </w:rPr>
              <w:t>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责令限期改正，处</w:t>
            </w:r>
            <w:r>
              <w:rPr>
                <w:rFonts w:ascii="宋体" w:hAnsi="宋体" w:eastAsia="宋体"/>
                <w:sz w:val="16"/>
                <w:szCs w:val="16"/>
              </w:rPr>
              <w:t>15.5</w:t>
            </w:r>
            <w:r>
              <w:rPr>
                <w:rFonts w:hint="eastAsia" w:ascii="宋体" w:hAnsi="宋体" w:eastAsia="宋体"/>
                <w:sz w:val="16"/>
                <w:szCs w:val="16"/>
              </w:rPr>
              <w:t>万元以上20万元以下的罚款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融资担保公司未按照要求向监督管理部门报送经营报告、财务报告、年度审计报告等文件、资料或者业务开展情况，或者未报告其发生的重大风险事件的，责令限期改正后逾期不改正的</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第四十一条 “融资担保公司未按照要求向监督管理部门报送经营报告、财务报告、年度审计报告等文件、资料或者业务开展情况，或者未报告其发生的重大风险事件的，由监督管理部门责令限期改正，处5万元以上20万元以下的罚款；逾期不改正的，责令停业整顿，情节严重的，吊销其融资担保业务经营许可证”。</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暂扣或者吊销许可证、暂扣或者吊销执照</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宋体" w:hAnsi="宋体" w:eastAsia="宋体"/>
                <w:sz w:val="16"/>
                <w:szCs w:val="16"/>
              </w:rPr>
              <w:t>责令停业整顿</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0"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吊销融资担保业务经营许可证</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8" w:hRule="atLeast"/>
          <w:jc w:val="center"/>
        </w:trPr>
        <w:tc>
          <w:tcPr>
            <w:tcW w:w="97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1</w:t>
            </w:r>
          </w:p>
        </w:tc>
        <w:tc>
          <w:tcPr>
            <w:tcW w:w="1878" w:type="dxa"/>
            <w:vMerge w:val="restart"/>
            <w:vAlign w:val="center"/>
          </w:tcPr>
          <w:p>
            <w:pPr>
              <w:rPr>
                <w:rFonts w:ascii="宋体" w:hAnsi="宋体" w:eastAsia="宋体"/>
                <w:b/>
                <w:sz w:val="16"/>
                <w:szCs w:val="16"/>
              </w:rPr>
            </w:pPr>
            <w:r>
              <w:rPr>
                <w:rFonts w:hint="eastAsia" w:ascii="宋体" w:hAnsi="宋体" w:eastAsia="宋体"/>
                <w:b/>
                <w:sz w:val="16"/>
                <w:szCs w:val="16"/>
              </w:rPr>
              <w:t>拒绝、阻碍监督管理部门依法实施监督检查；</w:t>
            </w:r>
          </w:p>
          <w:p>
            <w:pPr>
              <w:rPr>
                <w:rFonts w:hint="eastAsia" w:ascii="黑体" w:hAnsi="黑体" w:eastAsia="黑体" w:cs="黑体"/>
                <w:sz w:val="24"/>
              </w:rPr>
            </w:pPr>
            <w:r>
              <w:rPr>
                <w:rFonts w:hint="eastAsia" w:ascii="宋体" w:hAnsi="宋体" w:eastAsia="宋体"/>
                <w:b/>
                <w:sz w:val="16"/>
                <w:szCs w:val="16"/>
              </w:rPr>
              <w:t>向监督管理部门提供虚假的经营报告、财务报告、年度审计报告等文件、资料；拒绝执行监督管理部门按照规定应采取的措施</w:t>
            </w:r>
          </w:p>
        </w:tc>
        <w:tc>
          <w:tcPr>
            <w:tcW w:w="4139" w:type="dxa"/>
            <w:vMerge w:val="restart"/>
            <w:vAlign w:val="center"/>
          </w:tcPr>
          <w:p>
            <w:pPr>
              <w:rPr>
                <w:rFonts w:ascii="宋体" w:hAnsi="宋体" w:eastAsia="宋体"/>
                <w:sz w:val="16"/>
                <w:szCs w:val="16"/>
              </w:rPr>
            </w:pPr>
            <w:r>
              <w:rPr>
                <w:rFonts w:hint="eastAsia" w:ascii="宋体" w:hAnsi="宋体" w:eastAsia="宋体"/>
                <w:sz w:val="16"/>
                <w:szCs w:val="16"/>
              </w:rPr>
              <w:t>第四十二条“融资担保公司有下列情形之一的，由监督管理部门责令限期改正，处20万元以上50万元以下的罚款；逾期不改正的，责令停业整顿，情节严重的，吊销其融资担保业务经营许可证；构成违反治安管理行为的，依照《中华人民共和国治安管理处罚法》予以处罚；构成犯罪的，依法追究刑事责任：（一）拒绝、阻碍监督管理部门依法实施监督检查；（二）向监督管理部门提供虚假的经营报告、财务报告、年度审计报告等文件、资料；（三）拒绝执行监督管理部门依照本条例第三十条第一款规定采取的措施”。</w:t>
            </w:r>
          </w:p>
          <w:p>
            <w:pPr>
              <w:jc w:val="both"/>
              <w:rPr>
                <w:rFonts w:hint="eastAsia" w:ascii="仿宋" w:hAnsi="仿宋" w:eastAsia="仿宋" w:cs="仿宋"/>
                <w:sz w:val="18"/>
                <w:szCs w:val="18"/>
              </w:rPr>
            </w:pPr>
            <w:r>
              <w:rPr>
                <w:rFonts w:hint="eastAsia" w:ascii="宋体" w:hAnsi="宋体" w:eastAsia="宋体"/>
                <w:sz w:val="16"/>
                <w:szCs w:val="16"/>
              </w:rPr>
              <w:t>第三十一条第一款“融资担保公司应当按照要求向监督管理部门报送经营报告、财务报告以及注册会计师出具的年度审计报告等文件和资料。”</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责令限期改正，处20万元以上</w:t>
            </w:r>
            <w:r>
              <w:rPr>
                <w:rFonts w:ascii="宋体" w:hAnsi="宋体" w:eastAsia="宋体"/>
                <w:sz w:val="16"/>
                <w:szCs w:val="16"/>
              </w:rPr>
              <w:t>29</w:t>
            </w:r>
            <w:r>
              <w:rPr>
                <w:rFonts w:hint="eastAsia" w:ascii="宋体" w:hAnsi="宋体" w:eastAsia="宋体"/>
                <w:sz w:val="16"/>
                <w:szCs w:val="16"/>
              </w:rPr>
              <w:t>万元以下的罚款</w:t>
            </w:r>
          </w:p>
        </w:tc>
        <w:tc>
          <w:tcPr>
            <w:tcW w:w="818" w:type="dxa"/>
            <w:vMerge w:val="restart"/>
            <w:vAlign w:val="center"/>
          </w:tcPr>
          <w:p>
            <w:pPr>
              <w:jc w:val="both"/>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8"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lang w:eastAsia="zh-CN"/>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责令限期改正，处</w:t>
            </w:r>
            <w:r>
              <w:rPr>
                <w:rFonts w:ascii="宋体" w:hAnsi="宋体" w:eastAsia="宋体"/>
                <w:sz w:val="16"/>
                <w:szCs w:val="16"/>
              </w:rPr>
              <w:t>29</w:t>
            </w:r>
            <w:r>
              <w:rPr>
                <w:rFonts w:hint="eastAsia" w:ascii="宋体" w:hAnsi="宋体" w:eastAsia="宋体"/>
                <w:sz w:val="16"/>
                <w:szCs w:val="16"/>
              </w:rPr>
              <w:t>万元以上</w:t>
            </w:r>
            <w:r>
              <w:rPr>
                <w:rFonts w:ascii="宋体" w:hAnsi="宋体" w:eastAsia="宋体"/>
                <w:sz w:val="16"/>
                <w:szCs w:val="16"/>
              </w:rPr>
              <w:t>41</w:t>
            </w:r>
            <w:r>
              <w:rPr>
                <w:rFonts w:hint="eastAsia" w:ascii="宋体" w:hAnsi="宋体" w:eastAsia="宋体"/>
                <w:sz w:val="16"/>
                <w:szCs w:val="16"/>
              </w:rPr>
              <w:t>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5"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责令限期改正，处</w:t>
            </w:r>
            <w:r>
              <w:rPr>
                <w:rFonts w:ascii="宋体" w:hAnsi="宋体" w:eastAsia="宋体"/>
                <w:sz w:val="16"/>
                <w:szCs w:val="16"/>
              </w:rPr>
              <w:t>41</w:t>
            </w:r>
            <w:r>
              <w:rPr>
                <w:rFonts w:hint="eastAsia" w:ascii="宋体" w:hAnsi="宋体" w:eastAsia="宋体"/>
                <w:sz w:val="16"/>
                <w:szCs w:val="16"/>
              </w:rPr>
              <w:t>万元以上50万元以下的罚款</w:t>
            </w:r>
          </w:p>
        </w:tc>
        <w:tc>
          <w:tcPr>
            <w:tcW w:w="818" w:type="dxa"/>
            <w:vMerge w:val="continue"/>
            <w:vAlign w:val="top"/>
          </w:tcPr>
          <w:p>
            <w:pPr>
              <w:jc w:val="both"/>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2</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拒绝、阻碍监督管理部门依法实施监督检查，向监督管理部门提供虚假的经营报告、财务报告、年度审计报告等文件、资料，拒绝执行监督管理部门依照本条例第三十条第一款规定采取的措施，责令限期改正后逾期不改正的</w:t>
            </w:r>
          </w:p>
        </w:tc>
        <w:tc>
          <w:tcPr>
            <w:tcW w:w="4139" w:type="dxa"/>
            <w:vMerge w:val="restart"/>
            <w:vAlign w:val="center"/>
          </w:tcPr>
          <w:p>
            <w:pPr>
              <w:rPr>
                <w:rFonts w:ascii="宋体" w:hAnsi="宋体" w:eastAsia="宋体"/>
                <w:sz w:val="16"/>
                <w:szCs w:val="16"/>
              </w:rPr>
            </w:pPr>
            <w:r>
              <w:rPr>
                <w:rFonts w:hint="eastAsia" w:ascii="宋体" w:hAnsi="宋体" w:eastAsia="宋体"/>
                <w:sz w:val="16"/>
                <w:szCs w:val="16"/>
              </w:rPr>
              <w:t>第四十二条“融资担保公司有下列情形之一的，由监督管理部门责令限期改正，处20万元以上50万元以下的罚款；逾期不改正的，责令停业整顿，情节严重的，吊销其融资担保业务经营许可证；构成违反治安管理行为的，依照《中华人民共和国治安管理处罚法》予以处罚；构成犯罪的，依法追究刑事责任：（一）拒绝、阻碍监督管理部门依法实施监督检查；（二）向监督管理部门提供虚假的经营报告、财务报告、年度审计报告等文件、资料；（三）拒绝执行监督管理部门依照本条例第三十条第一款规定采取的措施”。</w:t>
            </w:r>
          </w:p>
          <w:p>
            <w:pPr>
              <w:jc w:val="both"/>
              <w:rPr>
                <w:rFonts w:hint="eastAsia" w:ascii="仿宋" w:hAnsi="仿宋" w:eastAsia="仿宋" w:cs="仿宋"/>
                <w:sz w:val="18"/>
                <w:szCs w:val="18"/>
              </w:rPr>
            </w:pPr>
            <w:r>
              <w:rPr>
                <w:rFonts w:hint="eastAsia" w:ascii="宋体" w:hAnsi="宋体" w:eastAsia="宋体"/>
                <w:sz w:val="16"/>
                <w:szCs w:val="16"/>
              </w:rPr>
              <w:t>第三十一条第一款“融资担保公司应当按照要求向监督管理部门报送经营报告、财务报告以及注册会计师出具的年度审计报告等文件和资料。”</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责令停产停业</w:t>
            </w:r>
            <w:r>
              <w:rPr>
                <w:rFonts w:hint="eastAsia" w:ascii="宋体" w:hAnsi="宋体" w:eastAsia="宋体" w:cs="宋体"/>
                <w:i w:val="0"/>
                <w:caps w:val="0"/>
                <w:color w:val="333333"/>
                <w:spacing w:val="0"/>
                <w:sz w:val="16"/>
                <w:szCs w:val="16"/>
                <w:shd w:val="clear" w:color="auto" w:fill="FFFFFF"/>
                <w:lang w:eastAsia="zh-CN"/>
              </w:rPr>
              <w:t>；</w:t>
            </w:r>
            <w:r>
              <w:rPr>
                <w:rFonts w:hint="eastAsia" w:ascii="宋体" w:hAnsi="宋体" w:eastAsia="宋体" w:cs="宋体"/>
                <w:i w:val="0"/>
                <w:caps w:val="0"/>
                <w:color w:val="333333"/>
                <w:spacing w:val="0"/>
                <w:sz w:val="16"/>
                <w:szCs w:val="16"/>
                <w:shd w:val="clear" w:color="auto" w:fill="FFFFFF"/>
              </w:rPr>
              <w:t>吊销许可证</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责令停业整顿</w:t>
            </w:r>
          </w:p>
        </w:tc>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0" w:hRule="atLeast"/>
          <w:jc w:val="center"/>
        </w:trPr>
        <w:tc>
          <w:tcPr>
            <w:tcW w:w="979" w:type="dxa"/>
            <w:vMerge w:val="continue"/>
            <w:vAlign w:val="center"/>
          </w:tcPr>
          <w:p>
            <w:pPr>
              <w:jc w:val="center"/>
              <w:rPr>
                <w:rFonts w:hint="eastAsia" w:ascii="宋体" w:hAnsi="宋体" w:eastAsia="宋体" w:cs="宋体"/>
                <w:sz w:val="24"/>
                <w:szCs w:val="24"/>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吊销融资担保业务经营许可证</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restart"/>
            <w:vAlign w:val="center"/>
          </w:tcPr>
          <w:p>
            <w:pPr>
              <w:jc w:val="center"/>
              <w:rPr>
                <w:rFonts w:hint="eastAsia" w:ascii="宋体" w:hAnsi="宋体" w:eastAsia="宋体" w:cs="宋体"/>
                <w:sz w:val="24"/>
                <w:szCs w:val="24"/>
                <w:lang w:val="en-US" w:eastAsia="zh-CN"/>
              </w:rPr>
            </w:pPr>
            <w:r>
              <w:rPr>
                <w:rFonts w:hint="eastAsia" w:ascii="宋体" w:hAnsi="宋体" w:eastAsia="宋体" w:cs="宋体"/>
                <w:sz w:val="24"/>
                <w:szCs w:val="24"/>
              </w:rPr>
              <w:t>1</w:t>
            </w:r>
            <w:r>
              <w:rPr>
                <w:rFonts w:hint="eastAsia" w:ascii="宋体" w:hAnsi="宋体" w:eastAsia="宋体" w:cs="宋体"/>
                <w:sz w:val="24"/>
                <w:szCs w:val="24"/>
                <w:lang w:val="en-US" w:eastAsia="zh-CN"/>
              </w:rPr>
              <w:t>3</w:t>
            </w:r>
          </w:p>
        </w:tc>
        <w:tc>
          <w:tcPr>
            <w:tcW w:w="1878" w:type="dxa"/>
            <w:vMerge w:val="restart"/>
            <w:vAlign w:val="center"/>
          </w:tcPr>
          <w:p>
            <w:pPr>
              <w:jc w:val="both"/>
              <w:rPr>
                <w:rFonts w:hint="eastAsia" w:ascii="黑体" w:hAnsi="黑体" w:eastAsia="黑体" w:cs="黑体"/>
                <w:sz w:val="24"/>
              </w:rPr>
            </w:pPr>
            <w:r>
              <w:rPr>
                <w:rFonts w:hint="eastAsia" w:ascii="宋体" w:hAnsi="宋体" w:eastAsia="宋体"/>
                <w:b/>
                <w:sz w:val="16"/>
                <w:szCs w:val="16"/>
              </w:rPr>
              <w:t>对融资担保公司处以罚款的，对负有直接责任的董事、监事、高级管理人员也处以罚款</w:t>
            </w:r>
          </w:p>
        </w:tc>
        <w:tc>
          <w:tcPr>
            <w:tcW w:w="4139" w:type="dxa"/>
            <w:vMerge w:val="restart"/>
            <w:vAlign w:val="center"/>
          </w:tcPr>
          <w:p>
            <w:pPr>
              <w:rPr>
                <w:rFonts w:ascii="宋体" w:hAnsi="宋体" w:eastAsia="宋体"/>
                <w:sz w:val="16"/>
                <w:szCs w:val="16"/>
              </w:rPr>
            </w:pPr>
            <w:r>
              <w:rPr>
                <w:rFonts w:hint="eastAsia" w:ascii="宋体" w:hAnsi="宋体" w:eastAsia="宋体"/>
                <w:sz w:val="16"/>
                <w:szCs w:val="16"/>
              </w:rPr>
              <w:t>第四十三条第一款“依照本条例规定对融资担保公司处以罚款的，根据具体情形，可以同时对负有直接责任的董事、监事、高级管理人员处5万元以下的罚款”。</w:t>
            </w:r>
          </w:p>
          <w:p>
            <w:pPr>
              <w:jc w:val="both"/>
              <w:rPr>
                <w:rFonts w:hint="eastAsia" w:ascii="仿宋" w:hAnsi="仿宋" w:eastAsia="仿宋" w:cs="仿宋"/>
                <w:sz w:val="18"/>
                <w:szCs w:val="18"/>
              </w:rPr>
            </w:pP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rPr>
            </w:pPr>
            <w:r>
              <w:rPr>
                <w:rFonts w:hint="eastAsia" w:ascii="宋体" w:hAnsi="宋体" w:eastAsia="宋体" w:cs="宋体"/>
                <w:i w:val="0"/>
                <w:caps w:val="0"/>
                <w:color w:val="333333"/>
                <w:spacing w:val="0"/>
                <w:sz w:val="16"/>
                <w:szCs w:val="16"/>
                <w:shd w:val="clear" w:color="auto" w:fill="FFFFFF"/>
              </w:rPr>
              <w:t>罚款</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从轻</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处1.5万元以下的罚款</w:t>
            </w:r>
          </w:p>
        </w:tc>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continue"/>
            <w:vAlign w:val="top"/>
          </w:tcPr>
          <w:p>
            <w:pPr>
              <w:jc w:val="center"/>
              <w:rPr>
                <w:rFonts w:hint="eastAsia" w:ascii="仿宋" w:hAnsi="仿宋" w:eastAsia="仿宋" w:cs="仿宋"/>
                <w:sz w:val="28"/>
                <w:szCs w:val="28"/>
              </w:rPr>
            </w:pPr>
          </w:p>
        </w:tc>
        <w:tc>
          <w:tcPr>
            <w:tcW w:w="1878" w:type="dxa"/>
            <w:vMerge w:val="continue"/>
            <w:vAlign w:val="top"/>
          </w:tcPr>
          <w:p>
            <w:pPr>
              <w:jc w:val="both"/>
              <w:rPr>
                <w:rFonts w:hint="eastAsia" w:ascii="仿宋" w:hAnsi="仿宋" w:eastAsia="仿宋" w:cs="仿宋"/>
                <w:sz w:val="28"/>
                <w:szCs w:val="28"/>
              </w:rPr>
            </w:pPr>
          </w:p>
        </w:tc>
        <w:tc>
          <w:tcPr>
            <w:tcW w:w="4139" w:type="dxa"/>
            <w:vMerge w:val="continue"/>
            <w:vAlign w:val="top"/>
          </w:tcPr>
          <w:p>
            <w:pPr>
              <w:jc w:val="both"/>
              <w:rPr>
                <w:rFonts w:hint="eastAsia" w:ascii="仿宋" w:hAnsi="仿宋" w:eastAsia="仿宋" w:cs="仿宋"/>
                <w:sz w:val="28"/>
                <w:szCs w:val="28"/>
              </w:rPr>
            </w:pPr>
          </w:p>
        </w:tc>
        <w:tc>
          <w:tcPr>
            <w:tcW w:w="1306" w:type="dxa"/>
            <w:vMerge w:val="continue"/>
            <w:vAlign w:val="top"/>
          </w:tcPr>
          <w:p>
            <w:pPr>
              <w:jc w:val="both"/>
              <w:rPr>
                <w:rFonts w:hint="eastAsia" w:ascii="仿宋" w:hAnsi="仿宋" w:eastAsia="仿宋" w:cs="仿宋"/>
                <w:sz w:val="28"/>
                <w:szCs w:val="28"/>
              </w:rPr>
            </w:pPr>
          </w:p>
        </w:tc>
        <w:tc>
          <w:tcPr>
            <w:tcW w:w="1066" w:type="dxa"/>
            <w:vMerge w:val="continue"/>
            <w:vAlign w:val="top"/>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一般</w:t>
            </w:r>
          </w:p>
        </w:tc>
        <w:tc>
          <w:tcPr>
            <w:tcW w:w="2707" w:type="dxa"/>
            <w:vAlign w:val="center"/>
          </w:tcPr>
          <w:p>
            <w:pPr>
              <w:jc w:val="both"/>
              <w:rPr>
                <w:rFonts w:hint="eastAsia" w:ascii="仿宋" w:hAnsi="仿宋" w:eastAsia="仿宋" w:cs="仿宋"/>
                <w:sz w:val="28"/>
                <w:szCs w:val="28"/>
              </w:rPr>
            </w:pPr>
            <w:r>
              <w:rPr>
                <w:rFonts w:hint="eastAsia" w:ascii="宋体" w:hAnsi="宋体" w:eastAsia="宋体"/>
                <w:sz w:val="16"/>
                <w:szCs w:val="16"/>
              </w:rPr>
              <w:t>处1.5万元以上3.5万元以下的罚款</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处3.5万元以上5万元以下的罚款</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2" w:hRule="atLeast"/>
          <w:jc w:val="center"/>
        </w:trPr>
        <w:tc>
          <w:tcPr>
            <w:tcW w:w="979" w:type="dxa"/>
            <w:vMerge w:val="restart"/>
            <w:vAlign w:val="center"/>
          </w:tcPr>
          <w:p>
            <w:pPr>
              <w:jc w:val="center"/>
              <w:rPr>
                <w:rFonts w:hint="default" w:ascii="仿宋" w:hAnsi="仿宋" w:eastAsia="仿宋" w:cs="仿宋"/>
                <w:sz w:val="18"/>
                <w:szCs w:val="18"/>
                <w:lang w:val="en-US" w:eastAsia="zh-CN"/>
              </w:rPr>
            </w:pPr>
            <w:r>
              <w:rPr>
                <w:rFonts w:hint="eastAsia" w:ascii="宋体" w:hAnsi="宋体" w:eastAsia="宋体" w:cs="宋体"/>
                <w:sz w:val="24"/>
                <w:szCs w:val="24"/>
                <w:lang w:val="en-US" w:eastAsia="zh-CN"/>
              </w:rPr>
              <w:t>14</w:t>
            </w:r>
          </w:p>
        </w:tc>
        <w:tc>
          <w:tcPr>
            <w:tcW w:w="1878" w:type="dxa"/>
            <w:vMerge w:val="restart"/>
            <w:vAlign w:val="center"/>
          </w:tcPr>
          <w:p>
            <w:pPr>
              <w:jc w:val="both"/>
              <w:rPr>
                <w:rFonts w:hint="eastAsia" w:ascii="仿宋" w:hAnsi="仿宋" w:eastAsia="仿宋" w:cs="仿宋"/>
                <w:sz w:val="18"/>
                <w:szCs w:val="18"/>
              </w:rPr>
            </w:pPr>
            <w:r>
              <w:rPr>
                <w:rFonts w:hint="eastAsia" w:ascii="宋体" w:hAnsi="宋体" w:eastAsia="宋体"/>
                <w:b/>
                <w:sz w:val="16"/>
                <w:szCs w:val="16"/>
              </w:rPr>
              <w:t>融资担保公司违法情节严重的，对负有直接责任的董事、监事、高级管理人员的实施禁业处罚</w:t>
            </w:r>
          </w:p>
        </w:tc>
        <w:tc>
          <w:tcPr>
            <w:tcW w:w="4139"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第四十三条第二款“融资担保公司违反本条例规定，情节严重的，监督管理部门对负有直接责任的董事、监事、高级管理人员，可以禁止其在一定期限内担任或者终身禁止其担任融资担保公司的董事、监事、高级管理人员”。</w:t>
            </w:r>
          </w:p>
        </w:tc>
        <w:tc>
          <w:tcPr>
            <w:tcW w:w="1306" w:type="dxa"/>
            <w:vMerge w:val="restart"/>
            <w:vAlign w:val="center"/>
          </w:tcPr>
          <w:p>
            <w:pPr>
              <w:jc w:val="both"/>
              <w:rPr>
                <w:rFonts w:hint="eastAsia" w:ascii="仿宋" w:hAnsi="仿宋" w:eastAsia="仿宋" w:cs="仿宋"/>
                <w:sz w:val="18"/>
                <w:szCs w:val="18"/>
              </w:rPr>
            </w:pPr>
            <w:r>
              <w:rPr>
                <w:rFonts w:hint="eastAsia" w:ascii="宋体" w:hAnsi="宋体" w:eastAsia="宋体"/>
                <w:sz w:val="16"/>
                <w:szCs w:val="16"/>
              </w:rPr>
              <w:t>《融资担保公司监督管理条例》</w:t>
            </w:r>
          </w:p>
        </w:tc>
        <w:tc>
          <w:tcPr>
            <w:tcW w:w="1066" w:type="dxa"/>
            <w:vMerge w:val="restart"/>
            <w:vAlign w:val="center"/>
          </w:tcPr>
          <w:p>
            <w:pPr>
              <w:spacing w:line="300" w:lineRule="exact"/>
              <w:jc w:val="both"/>
              <w:rPr>
                <w:rFonts w:hint="eastAsia" w:ascii="仿宋" w:hAnsi="仿宋" w:eastAsia="仿宋" w:cs="仿宋"/>
                <w:sz w:val="18"/>
                <w:szCs w:val="18"/>
                <w:lang w:eastAsia="zh-CN"/>
              </w:rPr>
            </w:pPr>
            <w:r>
              <w:rPr>
                <w:rFonts w:hint="eastAsia" w:ascii="宋体" w:hAnsi="宋体" w:eastAsia="宋体" w:cs="宋体"/>
                <w:i w:val="0"/>
                <w:caps w:val="0"/>
                <w:color w:val="333333"/>
                <w:spacing w:val="0"/>
                <w:sz w:val="16"/>
                <w:szCs w:val="16"/>
                <w:shd w:val="clear" w:color="auto" w:fill="FFFFFF"/>
                <w:lang w:eastAsia="zh-CN"/>
              </w:rPr>
              <w:t>行政法规规定的其他行政处罚</w:t>
            </w:r>
          </w:p>
        </w:tc>
        <w:tc>
          <w:tcPr>
            <w:tcW w:w="987" w:type="dxa"/>
            <w:vAlign w:val="center"/>
          </w:tcPr>
          <w:p>
            <w:pPr>
              <w:jc w:val="center"/>
              <w:rPr>
                <w:rFonts w:hint="eastAsia" w:ascii="宋体" w:hAnsi="宋体" w:eastAsia="宋体" w:cs="宋体"/>
                <w:sz w:val="16"/>
                <w:szCs w:val="16"/>
              </w:rPr>
            </w:pPr>
            <w:r>
              <w:rPr>
                <w:rFonts w:hint="eastAsia" w:ascii="宋体" w:hAnsi="宋体" w:eastAsia="宋体" w:cs="宋体"/>
                <w:sz w:val="16"/>
                <w:szCs w:val="16"/>
                <w:lang w:eastAsia="zh-CN"/>
              </w:rPr>
              <w:t>一般</w:t>
            </w:r>
          </w:p>
        </w:tc>
        <w:tc>
          <w:tcPr>
            <w:tcW w:w="2707" w:type="dxa"/>
            <w:vAlign w:val="center"/>
          </w:tcPr>
          <w:p>
            <w:pPr>
              <w:jc w:val="both"/>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宋体" w:hAnsi="宋体" w:eastAsia="宋体"/>
                <w:sz w:val="16"/>
                <w:szCs w:val="16"/>
              </w:rPr>
              <w:t>禁止在5年至10年内担任融资担保公司的董事、监事、高级管理人员</w:t>
            </w:r>
          </w:p>
        </w:tc>
        <w:tc>
          <w:tcPr>
            <w:tcW w:w="81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r>
              <w:rPr>
                <w:rFonts w:hint="eastAsia" w:ascii="宋体" w:hAnsi="宋体" w:eastAsia="宋体" w:cs="宋体"/>
                <w:sz w:val="16"/>
                <w:szCs w:val="16"/>
                <w:lang w:eastAsia="zh-CN"/>
              </w:rPr>
              <w:t>广东省地方金融监督管理局及其委托授权组织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8" w:hRule="atLeast"/>
          <w:jc w:val="center"/>
        </w:trPr>
        <w:tc>
          <w:tcPr>
            <w:tcW w:w="979" w:type="dxa"/>
            <w:vMerge w:val="continue"/>
            <w:vAlign w:val="center"/>
          </w:tcPr>
          <w:p>
            <w:pPr>
              <w:jc w:val="center"/>
              <w:rPr>
                <w:rFonts w:hint="eastAsia" w:ascii="仿宋" w:hAnsi="仿宋" w:eastAsia="仿宋" w:cs="仿宋"/>
                <w:sz w:val="28"/>
                <w:szCs w:val="28"/>
              </w:rPr>
            </w:pPr>
          </w:p>
        </w:tc>
        <w:tc>
          <w:tcPr>
            <w:tcW w:w="1878" w:type="dxa"/>
            <w:vMerge w:val="continue"/>
            <w:vAlign w:val="center"/>
          </w:tcPr>
          <w:p>
            <w:pPr>
              <w:jc w:val="both"/>
              <w:rPr>
                <w:rFonts w:hint="eastAsia" w:ascii="仿宋" w:hAnsi="仿宋" w:eastAsia="仿宋" w:cs="仿宋"/>
                <w:sz w:val="28"/>
                <w:szCs w:val="28"/>
              </w:rPr>
            </w:pPr>
          </w:p>
        </w:tc>
        <w:tc>
          <w:tcPr>
            <w:tcW w:w="4139" w:type="dxa"/>
            <w:vMerge w:val="continue"/>
            <w:vAlign w:val="center"/>
          </w:tcPr>
          <w:p>
            <w:pPr>
              <w:jc w:val="both"/>
              <w:rPr>
                <w:rFonts w:hint="eastAsia" w:ascii="仿宋" w:hAnsi="仿宋" w:eastAsia="仿宋" w:cs="仿宋"/>
                <w:sz w:val="28"/>
                <w:szCs w:val="28"/>
              </w:rPr>
            </w:pPr>
          </w:p>
        </w:tc>
        <w:tc>
          <w:tcPr>
            <w:tcW w:w="1306" w:type="dxa"/>
            <w:vMerge w:val="continue"/>
            <w:vAlign w:val="center"/>
          </w:tcPr>
          <w:p>
            <w:pPr>
              <w:jc w:val="both"/>
              <w:rPr>
                <w:rFonts w:hint="eastAsia" w:ascii="仿宋" w:hAnsi="仿宋" w:eastAsia="仿宋" w:cs="仿宋"/>
                <w:sz w:val="28"/>
                <w:szCs w:val="28"/>
              </w:rPr>
            </w:pPr>
          </w:p>
        </w:tc>
        <w:tc>
          <w:tcPr>
            <w:tcW w:w="1066" w:type="dxa"/>
            <w:vMerge w:val="continue"/>
            <w:vAlign w:val="center"/>
          </w:tcPr>
          <w:p>
            <w:pPr>
              <w:jc w:val="both"/>
              <w:rPr>
                <w:rFonts w:hint="eastAsia" w:ascii="仿宋" w:hAnsi="仿宋" w:eastAsia="仿宋" w:cs="仿宋"/>
                <w:sz w:val="28"/>
                <w:szCs w:val="28"/>
              </w:rPr>
            </w:pPr>
          </w:p>
        </w:tc>
        <w:tc>
          <w:tcPr>
            <w:tcW w:w="987" w:type="dxa"/>
            <w:vAlign w:val="center"/>
          </w:tcPr>
          <w:p>
            <w:pPr>
              <w:jc w:val="center"/>
              <w:rPr>
                <w:rFonts w:hint="eastAsia" w:ascii="楷体" w:hAnsi="楷体" w:eastAsia="楷体" w:cs="楷体"/>
                <w:sz w:val="16"/>
                <w:szCs w:val="16"/>
              </w:rPr>
            </w:pPr>
            <w:r>
              <w:rPr>
                <w:rFonts w:hint="eastAsia" w:ascii="宋体" w:hAnsi="宋体" w:eastAsia="宋体" w:cs="宋体"/>
                <w:sz w:val="16"/>
                <w:szCs w:val="16"/>
              </w:rPr>
              <w:t>从重</w:t>
            </w:r>
          </w:p>
        </w:tc>
        <w:tc>
          <w:tcPr>
            <w:tcW w:w="2707" w:type="dxa"/>
            <w:vAlign w:val="center"/>
          </w:tcPr>
          <w:p>
            <w:pPr>
              <w:widowControl/>
              <w:jc w:val="both"/>
              <w:textAlignment w:val="center"/>
              <w:rPr>
                <w:rFonts w:hint="eastAsia" w:ascii="仿宋" w:hAnsi="仿宋" w:eastAsia="仿宋" w:cs="仿宋"/>
                <w:sz w:val="13"/>
                <w:szCs w:val="13"/>
              </w:rPr>
            </w:pPr>
            <w:r>
              <w:rPr>
                <w:rFonts w:hint="eastAsia" w:ascii="宋体" w:hAnsi="宋体" w:eastAsia="宋体"/>
                <w:sz w:val="16"/>
                <w:szCs w:val="16"/>
              </w:rPr>
              <w:t>终身禁止担任融资担保公司的董事、监事、高级管理人员</w:t>
            </w:r>
          </w:p>
        </w:tc>
        <w:tc>
          <w:tcPr>
            <w:tcW w:w="818" w:type="dxa"/>
            <w:vMerge w:val="continue"/>
            <w:vAlign w:val="top"/>
          </w:tcPr>
          <w:p>
            <w:pPr>
              <w:keepNext w:val="0"/>
              <w:keepLines w:val="0"/>
              <w:pageBreakBefore w:val="0"/>
              <w:widowControl w:val="0"/>
              <w:kinsoku/>
              <w:wordWrap/>
              <w:overflowPunct/>
              <w:topLinePunct w:val="0"/>
              <w:autoSpaceDE/>
              <w:autoSpaceDN/>
              <w:bidi w:val="0"/>
              <w:adjustRightInd/>
              <w:snapToGrid/>
              <w:spacing w:line="280" w:lineRule="exact"/>
              <w:jc w:val="both"/>
              <w:textAlignment w:val="auto"/>
              <w:outlineLvl w:val="9"/>
              <w:rPr>
                <w:rFonts w:hint="eastAsia" w:ascii="仿宋" w:hAnsi="仿宋" w:eastAsia="仿宋" w:cs="仿宋"/>
                <w:sz w:val="28"/>
                <w:szCs w:val="28"/>
              </w:rPr>
            </w:pPr>
          </w:p>
        </w:tc>
      </w:tr>
    </w:tbl>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outlineLvl w:val="9"/>
        <w:rPr>
          <w:rFonts w:hint="eastAsia" w:ascii="仿宋_GB2312" w:hAnsi="仿宋_GB2312" w:eastAsia="仿宋_GB2312" w:cs="仿宋_GB2312"/>
          <w:sz w:val="32"/>
          <w:szCs w:val="32"/>
          <w:lang w:val="en-US" w:eastAsia="zh-CN"/>
        </w:rPr>
      </w:pPr>
      <w:bookmarkStart w:id="0" w:name="_GoBack"/>
      <w:bookmarkEnd w:id="0"/>
    </w:p>
    <w:sectPr>
      <w:headerReference r:id="rId3" w:type="default"/>
      <w:footerReference r:id="rId4" w:type="default"/>
      <w:pgSz w:w="16838" w:h="11906" w:orient="landscape"/>
      <w:pgMar w:top="1440" w:right="1440" w:bottom="1440" w:left="1440" w:header="851" w:footer="992" w:gutter="0"/>
      <w:pgNumType w:fmt="numberInDash"/>
      <w:cols w:space="0" w:num="1"/>
      <w:rtlGutter w:val="0"/>
      <w:docGrid w:type="lines" w:linePitch="32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彩虹粗仿宋">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02E2D"/>
    <w:rsid w:val="00210A52"/>
    <w:rsid w:val="007E345C"/>
    <w:rsid w:val="012F174A"/>
    <w:rsid w:val="0152393C"/>
    <w:rsid w:val="017441A9"/>
    <w:rsid w:val="01EC19BA"/>
    <w:rsid w:val="021A4AFA"/>
    <w:rsid w:val="02973B47"/>
    <w:rsid w:val="036D2BEF"/>
    <w:rsid w:val="038D7DF3"/>
    <w:rsid w:val="038E2421"/>
    <w:rsid w:val="038E54C7"/>
    <w:rsid w:val="043D14D5"/>
    <w:rsid w:val="04421C47"/>
    <w:rsid w:val="049E462B"/>
    <w:rsid w:val="050365D4"/>
    <w:rsid w:val="0561306F"/>
    <w:rsid w:val="06157740"/>
    <w:rsid w:val="06447F80"/>
    <w:rsid w:val="071252E3"/>
    <w:rsid w:val="077B16CA"/>
    <w:rsid w:val="079F4185"/>
    <w:rsid w:val="08071774"/>
    <w:rsid w:val="088755FC"/>
    <w:rsid w:val="09193619"/>
    <w:rsid w:val="095D7A4E"/>
    <w:rsid w:val="096219AB"/>
    <w:rsid w:val="099A4AFC"/>
    <w:rsid w:val="09E77121"/>
    <w:rsid w:val="0A2B4CA6"/>
    <w:rsid w:val="0A6E2BA0"/>
    <w:rsid w:val="0A811B85"/>
    <w:rsid w:val="0A844B16"/>
    <w:rsid w:val="0A9500BC"/>
    <w:rsid w:val="0AD7778C"/>
    <w:rsid w:val="0B542CA2"/>
    <w:rsid w:val="0B5F0E2F"/>
    <w:rsid w:val="0B832594"/>
    <w:rsid w:val="0BB05447"/>
    <w:rsid w:val="0CA636BC"/>
    <w:rsid w:val="0CD66F7D"/>
    <w:rsid w:val="0CED29D8"/>
    <w:rsid w:val="0E311098"/>
    <w:rsid w:val="0E6A6E61"/>
    <w:rsid w:val="0EBB238A"/>
    <w:rsid w:val="0EFB3E67"/>
    <w:rsid w:val="0F6B7449"/>
    <w:rsid w:val="0FB67D01"/>
    <w:rsid w:val="0FFA5834"/>
    <w:rsid w:val="104A15AA"/>
    <w:rsid w:val="10631EAD"/>
    <w:rsid w:val="10B0451D"/>
    <w:rsid w:val="10E86858"/>
    <w:rsid w:val="10FF2AA3"/>
    <w:rsid w:val="11212F5D"/>
    <w:rsid w:val="11737AAC"/>
    <w:rsid w:val="117D2527"/>
    <w:rsid w:val="11B96A49"/>
    <w:rsid w:val="11CC3D39"/>
    <w:rsid w:val="11EB3C1D"/>
    <w:rsid w:val="11EB4177"/>
    <w:rsid w:val="122777D0"/>
    <w:rsid w:val="12D06C63"/>
    <w:rsid w:val="13012232"/>
    <w:rsid w:val="13195DB2"/>
    <w:rsid w:val="1355185D"/>
    <w:rsid w:val="13A508B4"/>
    <w:rsid w:val="13E121EF"/>
    <w:rsid w:val="13EE5D64"/>
    <w:rsid w:val="14747485"/>
    <w:rsid w:val="150A570B"/>
    <w:rsid w:val="1512373A"/>
    <w:rsid w:val="15CE2904"/>
    <w:rsid w:val="15D01AE6"/>
    <w:rsid w:val="166A74EB"/>
    <w:rsid w:val="172F1BB3"/>
    <w:rsid w:val="17941B5A"/>
    <w:rsid w:val="17A26044"/>
    <w:rsid w:val="184E3002"/>
    <w:rsid w:val="18894C2E"/>
    <w:rsid w:val="198E79BE"/>
    <w:rsid w:val="19A02E2D"/>
    <w:rsid w:val="19AA068C"/>
    <w:rsid w:val="1A0453C0"/>
    <w:rsid w:val="1AD405D3"/>
    <w:rsid w:val="1B20505E"/>
    <w:rsid w:val="1B7859A9"/>
    <w:rsid w:val="1B8C25A9"/>
    <w:rsid w:val="1C6F5CF9"/>
    <w:rsid w:val="1C861371"/>
    <w:rsid w:val="1C962D03"/>
    <w:rsid w:val="1D4318A4"/>
    <w:rsid w:val="1E263719"/>
    <w:rsid w:val="1E341283"/>
    <w:rsid w:val="1E6E4973"/>
    <w:rsid w:val="1E866643"/>
    <w:rsid w:val="1F6A6836"/>
    <w:rsid w:val="1FC33B45"/>
    <w:rsid w:val="1FE610DE"/>
    <w:rsid w:val="20905F73"/>
    <w:rsid w:val="20BF5F6D"/>
    <w:rsid w:val="21293789"/>
    <w:rsid w:val="21794FA4"/>
    <w:rsid w:val="219477BD"/>
    <w:rsid w:val="21A93E74"/>
    <w:rsid w:val="2237574B"/>
    <w:rsid w:val="22726A4A"/>
    <w:rsid w:val="227D7D7D"/>
    <w:rsid w:val="22882944"/>
    <w:rsid w:val="22A50547"/>
    <w:rsid w:val="2336368E"/>
    <w:rsid w:val="2369753A"/>
    <w:rsid w:val="246A5D51"/>
    <w:rsid w:val="24CF5FE0"/>
    <w:rsid w:val="24E27AA9"/>
    <w:rsid w:val="24FC3E68"/>
    <w:rsid w:val="2509634C"/>
    <w:rsid w:val="2516165A"/>
    <w:rsid w:val="25D34CCE"/>
    <w:rsid w:val="262D7043"/>
    <w:rsid w:val="26633E37"/>
    <w:rsid w:val="26EA19F0"/>
    <w:rsid w:val="285D4460"/>
    <w:rsid w:val="2899660F"/>
    <w:rsid w:val="28AD61FA"/>
    <w:rsid w:val="28D25F6F"/>
    <w:rsid w:val="2901529B"/>
    <w:rsid w:val="29A42AF2"/>
    <w:rsid w:val="2A191616"/>
    <w:rsid w:val="2A865825"/>
    <w:rsid w:val="2A887A4D"/>
    <w:rsid w:val="2B7B3A2D"/>
    <w:rsid w:val="2B980BFF"/>
    <w:rsid w:val="2BF50155"/>
    <w:rsid w:val="2C282E30"/>
    <w:rsid w:val="2C511627"/>
    <w:rsid w:val="2CA72BF7"/>
    <w:rsid w:val="2CFC13DA"/>
    <w:rsid w:val="2D527717"/>
    <w:rsid w:val="2D8D4566"/>
    <w:rsid w:val="2DF8604E"/>
    <w:rsid w:val="2E141A23"/>
    <w:rsid w:val="2E292040"/>
    <w:rsid w:val="2E2B4095"/>
    <w:rsid w:val="2E970DB7"/>
    <w:rsid w:val="2F0D296F"/>
    <w:rsid w:val="2F383ADF"/>
    <w:rsid w:val="2FBF4150"/>
    <w:rsid w:val="2FF6317F"/>
    <w:rsid w:val="302A1296"/>
    <w:rsid w:val="305E4A0D"/>
    <w:rsid w:val="30F2664F"/>
    <w:rsid w:val="3122219F"/>
    <w:rsid w:val="31B22A2D"/>
    <w:rsid w:val="31FA3267"/>
    <w:rsid w:val="329541BA"/>
    <w:rsid w:val="32EC1EDA"/>
    <w:rsid w:val="33825E92"/>
    <w:rsid w:val="33863D91"/>
    <w:rsid w:val="3395767C"/>
    <w:rsid w:val="34384BE1"/>
    <w:rsid w:val="343C70D2"/>
    <w:rsid w:val="347F3B6B"/>
    <w:rsid w:val="34922A45"/>
    <w:rsid w:val="34D07D63"/>
    <w:rsid w:val="34E11D68"/>
    <w:rsid w:val="34EC674D"/>
    <w:rsid w:val="35AF1BA2"/>
    <w:rsid w:val="362229C7"/>
    <w:rsid w:val="36653A63"/>
    <w:rsid w:val="366C0493"/>
    <w:rsid w:val="368D2A1F"/>
    <w:rsid w:val="37386359"/>
    <w:rsid w:val="37691A62"/>
    <w:rsid w:val="37BC3AAD"/>
    <w:rsid w:val="37C14FCD"/>
    <w:rsid w:val="37EC402A"/>
    <w:rsid w:val="383565DF"/>
    <w:rsid w:val="38B355EC"/>
    <w:rsid w:val="392E2D23"/>
    <w:rsid w:val="393E0D7D"/>
    <w:rsid w:val="394C67E5"/>
    <w:rsid w:val="39697C17"/>
    <w:rsid w:val="3A1B69DB"/>
    <w:rsid w:val="3A24263D"/>
    <w:rsid w:val="3A573856"/>
    <w:rsid w:val="3A77394A"/>
    <w:rsid w:val="3A841790"/>
    <w:rsid w:val="3AC02B1D"/>
    <w:rsid w:val="3BBF7338"/>
    <w:rsid w:val="3BD37019"/>
    <w:rsid w:val="3BDF531A"/>
    <w:rsid w:val="3C006067"/>
    <w:rsid w:val="3C6968DE"/>
    <w:rsid w:val="3C6B6CDD"/>
    <w:rsid w:val="3D2C6513"/>
    <w:rsid w:val="3D4F3F78"/>
    <w:rsid w:val="3DF10A23"/>
    <w:rsid w:val="3E2A5557"/>
    <w:rsid w:val="3E5018A0"/>
    <w:rsid w:val="3E5B1873"/>
    <w:rsid w:val="3E7D277F"/>
    <w:rsid w:val="3EE403A3"/>
    <w:rsid w:val="3EE64C0A"/>
    <w:rsid w:val="3F734F56"/>
    <w:rsid w:val="3FDF7917"/>
    <w:rsid w:val="402333E1"/>
    <w:rsid w:val="40674BB4"/>
    <w:rsid w:val="40744A0D"/>
    <w:rsid w:val="41246256"/>
    <w:rsid w:val="41287B93"/>
    <w:rsid w:val="412D6DA5"/>
    <w:rsid w:val="418E6F9F"/>
    <w:rsid w:val="419C44F6"/>
    <w:rsid w:val="41C4764F"/>
    <w:rsid w:val="42102F49"/>
    <w:rsid w:val="421F6AC3"/>
    <w:rsid w:val="426C076A"/>
    <w:rsid w:val="4270410B"/>
    <w:rsid w:val="42A72163"/>
    <w:rsid w:val="43974FB4"/>
    <w:rsid w:val="43BA305D"/>
    <w:rsid w:val="440610F0"/>
    <w:rsid w:val="44CF11C2"/>
    <w:rsid w:val="453D1168"/>
    <w:rsid w:val="45630335"/>
    <w:rsid w:val="45795103"/>
    <w:rsid w:val="46181BFD"/>
    <w:rsid w:val="46382B42"/>
    <w:rsid w:val="464237EF"/>
    <w:rsid w:val="467E0CB7"/>
    <w:rsid w:val="46AD2148"/>
    <w:rsid w:val="46D2430D"/>
    <w:rsid w:val="4741126A"/>
    <w:rsid w:val="47AD2C07"/>
    <w:rsid w:val="47D60D6F"/>
    <w:rsid w:val="47EB6AE1"/>
    <w:rsid w:val="48437EE4"/>
    <w:rsid w:val="48A82164"/>
    <w:rsid w:val="49AF2CBB"/>
    <w:rsid w:val="4A12713F"/>
    <w:rsid w:val="4A1A7753"/>
    <w:rsid w:val="4AD75A8A"/>
    <w:rsid w:val="4AE301C1"/>
    <w:rsid w:val="4AF837BA"/>
    <w:rsid w:val="4B1E7B2F"/>
    <w:rsid w:val="4B271527"/>
    <w:rsid w:val="4B3F39AD"/>
    <w:rsid w:val="4B990E8E"/>
    <w:rsid w:val="4C160267"/>
    <w:rsid w:val="4C2D4456"/>
    <w:rsid w:val="4C5D270C"/>
    <w:rsid w:val="4C952783"/>
    <w:rsid w:val="4CC25244"/>
    <w:rsid w:val="4CE501F4"/>
    <w:rsid w:val="4D745A42"/>
    <w:rsid w:val="4D7757A3"/>
    <w:rsid w:val="4D875E52"/>
    <w:rsid w:val="4D925BA8"/>
    <w:rsid w:val="4ED3755B"/>
    <w:rsid w:val="4FA42CE1"/>
    <w:rsid w:val="4FFB7AC1"/>
    <w:rsid w:val="5037318F"/>
    <w:rsid w:val="503F03B0"/>
    <w:rsid w:val="5061226D"/>
    <w:rsid w:val="50E54197"/>
    <w:rsid w:val="51330FA5"/>
    <w:rsid w:val="51567316"/>
    <w:rsid w:val="518E54C9"/>
    <w:rsid w:val="51AF2B71"/>
    <w:rsid w:val="52851111"/>
    <w:rsid w:val="52D33E1B"/>
    <w:rsid w:val="53A10D31"/>
    <w:rsid w:val="53AA12AB"/>
    <w:rsid w:val="54830EF4"/>
    <w:rsid w:val="54BB6A0E"/>
    <w:rsid w:val="54E01688"/>
    <w:rsid w:val="553A4BAF"/>
    <w:rsid w:val="55580A6E"/>
    <w:rsid w:val="555B4067"/>
    <w:rsid w:val="55A904E8"/>
    <w:rsid w:val="55C3555E"/>
    <w:rsid w:val="564F4374"/>
    <w:rsid w:val="567534E1"/>
    <w:rsid w:val="56F5298B"/>
    <w:rsid w:val="573129BA"/>
    <w:rsid w:val="576968C9"/>
    <w:rsid w:val="577A069D"/>
    <w:rsid w:val="57863DCF"/>
    <w:rsid w:val="57BD4D8B"/>
    <w:rsid w:val="57D347CD"/>
    <w:rsid w:val="58C24B8C"/>
    <w:rsid w:val="58F61EF4"/>
    <w:rsid w:val="59040706"/>
    <w:rsid w:val="59C949E7"/>
    <w:rsid w:val="59D7057B"/>
    <w:rsid w:val="59E95572"/>
    <w:rsid w:val="5A553C3E"/>
    <w:rsid w:val="5A5A32F6"/>
    <w:rsid w:val="5A665955"/>
    <w:rsid w:val="5A681A2B"/>
    <w:rsid w:val="5AF9782B"/>
    <w:rsid w:val="5B367491"/>
    <w:rsid w:val="5B5D1C69"/>
    <w:rsid w:val="5C1A7760"/>
    <w:rsid w:val="5C3C5105"/>
    <w:rsid w:val="5C402E20"/>
    <w:rsid w:val="5C4A279C"/>
    <w:rsid w:val="5C6503B2"/>
    <w:rsid w:val="5C9B0108"/>
    <w:rsid w:val="5D1D27D2"/>
    <w:rsid w:val="5D7A2427"/>
    <w:rsid w:val="5E4340CC"/>
    <w:rsid w:val="5EA77234"/>
    <w:rsid w:val="5EC206CE"/>
    <w:rsid w:val="5EE13099"/>
    <w:rsid w:val="5F4226EA"/>
    <w:rsid w:val="5F9366E0"/>
    <w:rsid w:val="5FFE3D5A"/>
    <w:rsid w:val="6066361E"/>
    <w:rsid w:val="60F71091"/>
    <w:rsid w:val="60FF2CEF"/>
    <w:rsid w:val="614A3F6D"/>
    <w:rsid w:val="618D7B27"/>
    <w:rsid w:val="625A6872"/>
    <w:rsid w:val="625F0AF5"/>
    <w:rsid w:val="62D84A17"/>
    <w:rsid w:val="62E439A7"/>
    <w:rsid w:val="63447FD8"/>
    <w:rsid w:val="636B2F42"/>
    <w:rsid w:val="645A1F7F"/>
    <w:rsid w:val="64A371F1"/>
    <w:rsid w:val="64A94861"/>
    <w:rsid w:val="64C00225"/>
    <w:rsid w:val="64DE40B3"/>
    <w:rsid w:val="65DE1441"/>
    <w:rsid w:val="66246237"/>
    <w:rsid w:val="66CC0506"/>
    <w:rsid w:val="66DC3113"/>
    <w:rsid w:val="6753484A"/>
    <w:rsid w:val="67713655"/>
    <w:rsid w:val="67850195"/>
    <w:rsid w:val="67B8212C"/>
    <w:rsid w:val="67DD4983"/>
    <w:rsid w:val="67EC3AA3"/>
    <w:rsid w:val="68092C7D"/>
    <w:rsid w:val="686E1343"/>
    <w:rsid w:val="688C2158"/>
    <w:rsid w:val="693962D8"/>
    <w:rsid w:val="6976681A"/>
    <w:rsid w:val="69961F45"/>
    <w:rsid w:val="69C3741C"/>
    <w:rsid w:val="6AAC7EFF"/>
    <w:rsid w:val="6B3E7163"/>
    <w:rsid w:val="6B4C2CAC"/>
    <w:rsid w:val="6C286EE9"/>
    <w:rsid w:val="6C9D42BA"/>
    <w:rsid w:val="6CFE527D"/>
    <w:rsid w:val="6D1A024D"/>
    <w:rsid w:val="6DF95A46"/>
    <w:rsid w:val="6E7B0141"/>
    <w:rsid w:val="6EC07ACF"/>
    <w:rsid w:val="6EC85C73"/>
    <w:rsid w:val="6F413E86"/>
    <w:rsid w:val="704B26AF"/>
    <w:rsid w:val="70A72BE2"/>
    <w:rsid w:val="70E92D0B"/>
    <w:rsid w:val="71776F0B"/>
    <w:rsid w:val="7188309C"/>
    <w:rsid w:val="724401B7"/>
    <w:rsid w:val="728776C3"/>
    <w:rsid w:val="72AF33F9"/>
    <w:rsid w:val="72DB401F"/>
    <w:rsid w:val="72E3362B"/>
    <w:rsid w:val="730906FF"/>
    <w:rsid w:val="73C4433E"/>
    <w:rsid w:val="75112183"/>
    <w:rsid w:val="756E5AA7"/>
    <w:rsid w:val="75C1747A"/>
    <w:rsid w:val="768A3F1D"/>
    <w:rsid w:val="76FD69C1"/>
    <w:rsid w:val="76FE0095"/>
    <w:rsid w:val="779D5DC0"/>
    <w:rsid w:val="77FC457C"/>
    <w:rsid w:val="78334C13"/>
    <w:rsid w:val="78792F21"/>
    <w:rsid w:val="788F0E8C"/>
    <w:rsid w:val="78A8659E"/>
    <w:rsid w:val="792B724B"/>
    <w:rsid w:val="794B21E0"/>
    <w:rsid w:val="7A0D7985"/>
    <w:rsid w:val="7A5E74AE"/>
    <w:rsid w:val="7AB53973"/>
    <w:rsid w:val="7AB66493"/>
    <w:rsid w:val="7ACA6FAE"/>
    <w:rsid w:val="7AD54AE1"/>
    <w:rsid w:val="7B2B09B0"/>
    <w:rsid w:val="7B6A6951"/>
    <w:rsid w:val="7B9E137E"/>
    <w:rsid w:val="7C1B6F57"/>
    <w:rsid w:val="7C222396"/>
    <w:rsid w:val="7D23134A"/>
    <w:rsid w:val="7D400982"/>
    <w:rsid w:val="7D4E53D3"/>
    <w:rsid w:val="7D745A8E"/>
    <w:rsid w:val="7D761E81"/>
    <w:rsid w:val="7DA82F83"/>
    <w:rsid w:val="7E0B5ECB"/>
    <w:rsid w:val="7E2664FB"/>
    <w:rsid w:val="7EBE66C9"/>
    <w:rsid w:val="7EC34E99"/>
    <w:rsid w:val="7EDB37C9"/>
    <w:rsid w:val="7F5D319E"/>
    <w:rsid w:val="7FAD2905"/>
    <w:rsid w:val="7FCB4018"/>
    <w:rsid w:val="7FE05D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rPr>
  </w:style>
  <w:style w:type="paragraph" w:styleId="3">
    <w:name w:val="heading 1"/>
    <w:basedOn w:val="1"/>
    <w:next w:val="1"/>
    <w:qFormat/>
    <w:uiPriority w:val="0"/>
    <w:pPr>
      <w:keepNext/>
      <w:keepLines/>
      <w:spacing w:before="340" w:beforeLines="0" w:after="330" w:afterLines="0" w:line="576"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outlineLvl w:val="1"/>
    </w:pPr>
    <w:rPr>
      <w:rFonts w:ascii="Calibri Light" w:hAnsi="Calibri Light" w:eastAsia="宋体" w:cs="黑体"/>
      <w:b/>
      <w:bCs/>
      <w:sz w:val="32"/>
      <w:szCs w:val="32"/>
    </w:rPr>
  </w:style>
  <w:style w:type="character" w:default="1" w:styleId="14">
    <w:name w:val="Default Paragraph Font"/>
    <w:link w:val="15"/>
    <w:semiHidden/>
    <w:qFormat/>
    <w:uiPriority w:val="0"/>
    <w:rPr>
      <w:kern w:val="24"/>
      <w:sz w:val="24"/>
      <w:szCs w:val="24"/>
    </w:rPr>
  </w:style>
  <w:style w:type="table" w:default="1" w:styleId="21">
    <w:name w:val="Normal Table"/>
    <w:semiHidden/>
    <w:qFormat/>
    <w:uiPriority w:val="0"/>
    <w:tblPr>
      <w:tblLayout w:type="fixed"/>
      <w:tblCellMar>
        <w:top w:w="0" w:type="dxa"/>
        <w:left w:w="108" w:type="dxa"/>
        <w:bottom w:w="0" w:type="dxa"/>
        <w:right w:w="108" w:type="dxa"/>
      </w:tblCellMar>
    </w:tblPr>
  </w:style>
  <w:style w:type="paragraph" w:styleId="2">
    <w:name w:val="toc 2"/>
    <w:basedOn w:val="1"/>
    <w:next w:val="1"/>
    <w:unhideWhenUsed/>
    <w:qFormat/>
    <w:uiPriority w:val="39"/>
    <w:pPr>
      <w:ind w:left="200" w:leftChars="200"/>
    </w:pPr>
  </w:style>
  <w:style w:type="paragraph" w:styleId="5">
    <w:name w:val="Body Text First Indent"/>
    <w:basedOn w:val="6"/>
    <w:qFormat/>
    <w:uiPriority w:val="0"/>
    <w:pPr>
      <w:ind w:firstLine="420" w:firstLineChars="100"/>
    </w:pPr>
  </w:style>
  <w:style w:type="paragraph" w:styleId="6">
    <w:name w:val="Body Text"/>
    <w:basedOn w:val="1"/>
    <w:qFormat/>
    <w:uiPriority w:val="0"/>
    <w:pPr>
      <w:spacing w:after="120" w:afterLines="0" w:afterAutospacing="0"/>
    </w:pPr>
    <w:rPr>
      <w:rFonts w:ascii="Calibri" w:hAnsi="Calibri" w:cs="Times New Roman"/>
      <w:szCs w:val="24"/>
      <w:lang w:bidi="ar-SA"/>
    </w:rPr>
  </w:style>
  <w:style w:type="paragraph" w:styleId="7">
    <w:name w:val="Body Text Indent"/>
    <w:basedOn w:val="1"/>
    <w:qFormat/>
    <w:uiPriority w:val="0"/>
    <w:pPr>
      <w:spacing w:after="120"/>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footnote text"/>
    <w:basedOn w:val="1"/>
    <w:semiHidden/>
    <w:qFormat/>
    <w:uiPriority w:val="0"/>
    <w:pPr>
      <w:snapToGrid w:val="0"/>
      <w:jc w:val="left"/>
    </w:pPr>
    <w:rPr>
      <w:sz w:val="18"/>
      <w:szCs w:val="18"/>
    </w:rPr>
  </w:style>
  <w:style w:type="paragraph" w:styleId="11">
    <w:name w:val="Body Text Indent 3"/>
    <w:basedOn w:val="1"/>
    <w:qFormat/>
    <w:uiPriority w:val="0"/>
    <w:pPr>
      <w:spacing w:line="360" w:lineRule="auto"/>
      <w:ind w:firstLine="600" w:firstLineChars="200"/>
    </w:pPr>
    <w:rPr>
      <w:rFonts w:eastAsia="仿宋_GB2312"/>
      <w:sz w:val="30"/>
    </w:rPr>
  </w:style>
  <w:style w:type="paragraph" w:styleId="12">
    <w:name w:val="HTML Preformatted"/>
    <w:basedOn w:val="1"/>
    <w:unhideWhenUsed/>
    <w:qFormat/>
    <w:uiPriority w:val="99"/>
    <w:rPr>
      <w:rFonts w:ascii="Courier New" w:hAnsi="Courier New" w:cs="Courier New"/>
      <w:sz w:val="20"/>
      <w:szCs w:val="20"/>
    </w:rPr>
  </w:style>
  <w:style w:type="paragraph" w:styleId="13">
    <w:name w:val="Normal (Web)"/>
    <w:basedOn w:val="1"/>
    <w:qFormat/>
    <w:uiPriority w:val="0"/>
    <w:rPr>
      <w:rFonts w:ascii="Times New Roman" w:hAnsi="Times New Roman" w:eastAsia="宋体" w:cs="Times New Roman"/>
      <w:sz w:val="24"/>
      <w:lang w:val="en-US" w:eastAsia="zh-CN" w:bidi="ar-SA"/>
    </w:rPr>
  </w:style>
  <w:style w:type="paragraph" w:customStyle="1" w:styleId="15">
    <w:name w:val="Char Char Char Char Char Char Char"/>
    <w:basedOn w:val="1"/>
    <w:link w:val="14"/>
    <w:qFormat/>
    <w:uiPriority w:val="0"/>
    <w:pPr>
      <w:widowControl/>
      <w:spacing w:after="160" w:afterLines="0" w:line="240" w:lineRule="exact"/>
      <w:jc w:val="left"/>
    </w:pPr>
  </w:style>
  <w:style w:type="character" w:styleId="16">
    <w:name w:val="page number"/>
    <w:basedOn w:val="14"/>
    <w:qFormat/>
    <w:uiPriority w:val="0"/>
  </w:style>
  <w:style w:type="character" w:styleId="17">
    <w:name w:val="Emphasis"/>
    <w:basedOn w:val="14"/>
    <w:qFormat/>
    <w:uiPriority w:val="0"/>
    <w:rPr>
      <w:i/>
      <w:iCs/>
    </w:rPr>
  </w:style>
  <w:style w:type="character" w:styleId="18">
    <w:name w:val="Hyperlink"/>
    <w:basedOn w:val="14"/>
    <w:qFormat/>
    <w:uiPriority w:val="0"/>
    <w:rPr>
      <w:color w:val="000000"/>
      <w:u w:val="single"/>
    </w:rPr>
  </w:style>
  <w:style w:type="character" w:styleId="19">
    <w:name w:val="annotation reference"/>
    <w:qFormat/>
    <w:uiPriority w:val="0"/>
    <w:rPr>
      <w:sz w:val="21"/>
      <w:szCs w:val="21"/>
    </w:rPr>
  </w:style>
  <w:style w:type="character" w:styleId="20">
    <w:name w:val="footnote reference"/>
    <w:basedOn w:val="14"/>
    <w:semiHidden/>
    <w:qFormat/>
    <w:uiPriority w:val="0"/>
    <w:rPr>
      <w:vertAlign w:val="superscript"/>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3">
    <w:name w:val=" Char Char Char Char Char Char"/>
    <w:basedOn w:val="1"/>
    <w:link w:val="14"/>
    <w:qFormat/>
    <w:uiPriority w:val="0"/>
  </w:style>
  <w:style w:type="paragraph" w:customStyle="1" w:styleId="24">
    <w:name w:val="_Style 10"/>
    <w:basedOn w:val="1"/>
    <w:link w:val="14"/>
    <w:qFormat/>
    <w:uiPriority w:val="0"/>
    <w:pPr>
      <w:tabs>
        <w:tab w:val="left" w:pos="425"/>
      </w:tabs>
      <w:ind w:left="425" w:hanging="425"/>
    </w:pPr>
    <w:rPr>
      <w:kern w:val="24"/>
      <w:sz w:val="24"/>
      <w:szCs w:val="24"/>
    </w:rPr>
  </w:style>
  <w:style w:type="paragraph" w:customStyle="1" w:styleId="25">
    <w:name w:val="Char Char"/>
    <w:basedOn w:val="1"/>
    <w:link w:val="14"/>
    <w:qFormat/>
    <w:uiPriority w:val="0"/>
    <w:pPr>
      <w:widowControl/>
      <w:spacing w:after="160" w:afterLines="0" w:line="240" w:lineRule="exact"/>
      <w:jc w:val="left"/>
    </w:pPr>
  </w:style>
  <w:style w:type="paragraph" w:customStyle="1" w:styleId="26">
    <w:name w:val="p0"/>
    <w:basedOn w:val="1"/>
    <w:qFormat/>
    <w:uiPriority w:val="0"/>
    <w:pPr>
      <w:widowControl/>
    </w:pPr>
    <w:rPr>
      <w:kern w:val="0"/>
      <w:szCs w:val="21"/>
    </w:rPr>
  </w:style>
  <w:style w:type="paragraph" w:customStyle="1" w:styleId="27">
    <w:name w:val="_Style 1"/>
    <w:basedOn w:val="1"/>
    <w:qFormat/>
    <w:uiPriority w:val="34"/>
    <w:pPr>
      <w:ind w:left="720"/>
      <w:contextualSpacing/>
    </w:pPr>
  </w:style>
  <w:style w:type="paragraph" w:customStyle="1" w:styleId="28">
    <w:name w:val="List Paragraph"/>
    <w:basedOn w:val="1"/>
    <w:qFormat/>
    <w:uiPriority w:val="34"/>
    <w:pPr>
      <w:ind w:left="720"/>
      <w:contextualSpacing/>
    </w:pPr>
  </w:style>
  <w:style w:type="character" w:customStyle="1" w:styleId="29">
    <w:name w:val="font11"/>
    <w:basedOn w:val="14"/>
    <w:qFormat/>
    <w:uiPriority w:val="0"/>
    <w:rPr>
      <w:rFonts w:hint="default" w:ascii="方正小标宋_GBK" w:hAnsi="方正小标宋_GBK" w:eastAsia="方正小标宋_GBK" w:cs="方正小标宋_GBK"/>
      <w:color w:val="000000"/>
      <w:sz w:val="44"/>
      <w:szCs w:val="44"/>
      <w:u w:val="none"/>
    </w:rPr>
  </w:style>
  <w:style w:type="character" w:customStyle="1" w:styleId="30">
    <w:name w:val="font21"/>
    <w:basedOn w:val="14"/>
    <w:qFormat/>
    <w:uiPriority w:val="0"/>
    <w:rPr>
      <w:rFonts w:hint="default" w:ascii="方正黑体_GBK" w:hAnsi="方正黑体_GBK" w:eastAsia="方正黑体_GBK" w:cs="方正黑体_GBK"/>
      <w:color w:val="000000"/>
      <w:sz w:val="32"/>
      <w:szCs w:val="32"/>
      <w:u w:val="none"/>
    </w:rPr>
  </w:style>
  <w:style w:type="character" w:customStyle="1" w:styleId="31">
    <w:name w:val="font31"/>
    <w:basedOn w:val="14"/>
    <w:qFormat/>
    <w:uiPriority w:val="0"/>
    <w:rPr>
      <w:rFonts w:ascii="方正仿宋_GBK" w:hAnsi="方正仿宋_GBK" w:eastAsia="方正仿宋_GBK" w:cs="方正仿宋_GBK"/>
      <w:color w:val="000000"/>
      <w:sz w:val="28"/>
      <w:szCs w:val="28"/>
      <w:u w:val="none"/>
    </w:rPr>
  </w:style>
  <w:style w:type="character" w:customStyle="1" w:styleId="32">
    <w:name w:val="font61"/>
    <w:basedOn w:val="14"/>
    <w:qFormat/>
    <w:uiPriority w:val="0"/>
    <w:rPr>
      <w:rFonts w:hint="default" w:ascii="Times New Roman" w:hAnsi="Times New Roman" w:cs="Times New Roman"/>
      <w:color w:val="000000"/>
      <w:sz w:val="28"/>
      <w:szCs w:val="28"/>
      <w:u w:val="none"/>
    </w:rPr>
  </w:style>
  <w:style w:type="character" w:customStyle="1" w:styleId="33">
    <w:name w:val="font91"/>
    <w:basedOn w:val="14"/>
    <w:qFormat/>
    <w:uiPriority w:val="0"/>
    <w:rPr>
      <w:rFonts w:hint="eastAsia" w:ascii="宋体" w:hAnsi="宋体" w:eastAsia="宋体" w:cs="宋体"/>
      <w:b/>
      <w:color w:val="000000"/>
      <w:sz w:val="28"/>
      <w:szCs w:val="28"/>
      <w:u w:val="none"/>
    </w:rPr>
  </w:style>
  <w:style w:type="character" w:customStyle="1" w:styleId="34">
    <w:name w:val="font81"/>
    <w:basedOn w:val="14"/>
    <w:qFormat/>
    <w:uiPriority w:val="0"/>
    <w:rPr>
      <w:rFonts w:hint="eastAsia" w:ascii="宋体" w:hAnsi="宋体" w:eastAsia="宋体" w:cs="宋体"/>
      <w:color w:val="000000"/>
      <w:sz w:val="28"/>
      <w:szCs w:val="28"/>
      <w:u w:val="none"/>
    </w:rPr>
  </w:style>
  <w:style w:type="character" w:customStyle="1" w:styleId="35">
    <w:name w:val="font71"/>
    <w:basedOn w:val="14"/>
    <w:qFormat/>
    <w:uiPriority w:val="0"/>
    <w:rPr>
      <w:rFonts w:hint="default" w:ascii="Times New Roman" w:hAnsi="Times New Roman" w:cs="Times New Roman"/>
      <w:color w:val="000000"/>
      <w:sz w:val="28"/>
      <w:szCs w:val="28"/>
      <w:u w:val="none"/>
    </w:rPr>
  </w:style>
  <w:style w:type="paragraph" w:customStyle="1" w:styleId="36">
    <w:name w:val="正文1"/>
    <w:basedOn w:val="37"/>
    <w:qFormat/>
    <w:uiPriority w:val="0"/>
    <w:pPr>
      <w:widowControl/>
    </w:pPr>
    <w:rPr>
      <w:rFonts w:ascii="Times New Roman" w:hAnsi="Times New Roman" w:eastAsia="Times New Roman"/>
      <w:kern w:val="0"/>
      <w:szCs w:val="20"/>
      <w:lang w:eastAsia="en-US"/>
    </w:rPr>
  </w:style>
  <w:style w:type="paragraph" w:customStyle="1" w:styleId="37">
    <w:name w:val="[Normal]"/>
    <w:qFormat/>
    <w:uiPriority w:val="0"/>
    <w:rPr>
      <w:rFonts w:ascii="宋体" w:hAnsi="宋体" w:eastAsia="宋体" w:cs="Times New Roman"/>
      <w:sz w:val="24"/>
      <w:lang w:val="en-US" w:eastAsia="en-US" w:bidi="ar-SA"/>
    </w:rPr>
  </w:style>
  <w:style w:type="paragraph" w:customStyle="1" w:styleId="38">
    <w:name w:val="正文 New"/>
    <w:next w:val="1"/>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39">
    <w:name w:val="列出段落1"/>
    <w:basedOn w:val="1"/>
    <w:qFormat/>
    <w:uiPriority w:val="34"/>
    <w:pPr>
      <w:spacing w:line="360" w:lineRule="auto"/>
      <w:ind w:firstLine="420" w:firstLineChars="200"/>
    </w:pPr>
    <w:rPr>
      <w:rFonts w:eastAsia="彩虹粗仿宋"/>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2019-01-28T07:33:00Z</dcterms:created>
  <dc:creator>周景宜</dc:creator>
  <cp:lastModifiedBy>Cello</cp:lastModifiedBy>
  <cp:lastPrinted>2020-01-03T08:10:00Z</cp:lastPrinted>
  <dcterms:modified xsi:type="dcterms:W3CDTF">2020-12-28T02:09:27Z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