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5A" w:rsidRDefault="00E63A5A">
      <w:pPr>
        <w:pStyle w:val="1"/>
      </w:pPr>
      <w:bookmarkStart w:id="0" w:name="_GoBack"/>
      <w:bookmarkEnd w:id="0"/>
    </w:p>
    <w:p w:rsidR="00E63A5A" w:rsidRDefault="006B4C26">
      <w:pPr>
        <w:spacing w:line="7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广东省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地方金融监督管理局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年度行政审批和政务服务效能情况自评报告</w:t>
      </w:r>
    </w:p>
    <w:p w:rsidR="00E63A5A" w:rsidRDefault="00E63A5A">
      <w:pPr>
        <w:spacing w:line="360" w:lineRule="auto"/>
      </w:pPr>
    </w:p>
    <w:p w:rsidR="00E63A5A" w:rsidRDefault="00E63A5A">
      <w:pPr>
        <w:spacing w:line="360" w:lineRule="auto"/>
      </w:pPr>
    </w:p>
    <w:p w:rsidR="00E63A5A" w:rsidRDefault="006B4C26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省地方金融监管局认真贯彻落实省委、省政府决策部署，按照统筹推进常态化疫情防控和经济社会发展工作的要求，把深化“放管服”改革优化营商环境作为做好“六稳”工作、落实“六保”任务的重要抓手，积极推进地方金融领域“放管服”改革。依法办理行政审批事项，扎实做好简政放权、放管结合、优化服务各项工作，加快转变政府职能，稳妥推进行政权力委托工作，优化申请流程，精简审批材料，压缩办理时限，加强事中事后监管，不断提升各项政务服务工作效能。</w:t>
      </w:r>
    </w:p>
    <w:p w:rsidR="00E63A5A" w:rsidRDefault="006B4C26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一、行政审批效能情况</w:t>
      </w:r>
    </w:p>
    <w:p w:rsidR="00E63A5A" w:rsidRDefault="006B4C26">
      <w:pPr>
        <w:spacing w:line="360" w:lineRule="auto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（一）加快转变政府职能情况</w:t>
      </w:r>
    </w:p>
    <w:p w:rsidR="00E63A5A" w:rsidRDefault="006B4C26">
      <w:pPr>
        <w:spacing w:line="360" w:lineRule="auto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政府职能转变落实情况。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根据《广东省人民政府关于调整实施一批省级权责清单事项的决定》（省政府令第</w:t>
      </w:r>
      <w:r>
        <w:rPr>
          <w:rFonts w:ascii="仿宋_GB2312" w:eastAsia="仿宋_GB2312" w:hAnsi="仿宋_GB2312" w:cs="仿宋_GB2312" w:hint="eastAsia"/>
          <w:sz w:val="32"/>
          <w:szCs w:val="32"/>
        </w:rPr>
        <w:t>270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号）要求，</w:t>
      </w:r>
      <w:r>
        <w:rPr>
          <w:rFonts w:ascii="仿宋_GB2312" w:eastAsia="仿宋_GB2312" w:hAnsi="仿宋_GB2312" w:cs="仿宋_GB2312" w:hint="eastAsia"/>
          <w:sz w:val="32"/>
          <w:szCs w:val="32"/>
        </w:rPr>
        <w:t>在前期工作基础上，</w:t>
      </w:r>
      <w:r>
        <w:rPr>
          <w:rFonts w:ascii="仿宋_GB2312" w:eastAsia="仿宋_GB2312" w:hAnsi="仿宋_GB2312" w:cs="仿宋_GB2312" w:hint="eastAsia"/>
          <w:sz w:val="32"/>
          <w:szCs w:val="32"/>
        </w:rPr>
        <w:t>将融资担保公司备案事项及典当行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项省级行政处罚事项，委托各地级以上市金融局及广州南沙、珠海横琴金融局实施。</w:t>
      </w:r>
      <w:r>
        <w:rPr>
          <w:rFonts w:ascii="仿宋_GB2312" w:eastAsia="仿宋_GB2312" w:hAnsi="仿宋_GB2312" w:cs="仿宋_GB2312" w:hint="eastAsia"/>
          <w:sz w:val="32"/>
          <w:szCs w:val="32"/>
        </w:rPr>
        <w:t>并</w:t>
      </w:r>
      <w:r>
        <w:rPr>
          <w:rFonts w:ascii="仿宋_GB2312" w:eastAsia="仿宋_GB2312" w:hAnsi="仿宋_GB2312" w:cs="仿宋_GB2312" w:hint="eastAsia"/>
          <w:sz w:val="32"/>
          <w:szCs w:val="32"/>
        </w:rPr>
        <w:t>指导督促各地级以上市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金融局认领委托实施事项，认真管理实施清单，切实简化办理材料，编制办理材料范式模板，优化办事程序和流程。</w:t>
      </w:r>
    </w:p>
    <w:p w:rsidR="00E63A5A" w:rsidRDefault="006B4C26">
      <w:pPr>
        <w:spacing w:line="360" w:lineRule="auto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中介服务改革落实情况。</w:t>
      </w:r>
      <w:r>
        <w:rPr>
          <w:rFonts w:ascii="仿宋_GB2312" w:eastAsia="仿宋_GB2312" w:hAnsi="仿宋_GB2312" w:cs="仿宋_GB2312" w:hint="eastAsia"/>
          <w:sz w:val="32"/>
          <w:szCs w:val="32"/>
        </w:rPr>
        <w:t>落实</w:t>
      </w:r>
      <w:r>
        <w:rPr>
          <w:rFonts w:ascii="仿宋_GB2312" w:eastAsia="仿宋_GB2312" w:hAnsi="仿宋_GB2312" w:cs="仿宋_GB2312" w:hint="eastAsia"/>
          <w:sz w:val="32"/>
          <w:szCs w:val="32"/>
        </w:rPr>
        <w:t>国家和省关于深化行政审批制度改革</w:t>
      </w:r>
      <w:r>
        <w:rPr>
          <w:rFonts w:ascii="仿宋_GB2312" w:eastAsia="仿宋_GB2312" w:hAnsi="仿宋_GB2312" w:cs="仿宋_GB2312" w:hint="eastAsia"/>
          <w:sz w:val="32"/>
          <w:szCs w:val="32"/>
        </w:rPr>
        <w:t>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，进一步规范行政审批中介服务相关工作，按照合法、规范、有效、准确的原则全面排查，认真梳理规范，在不影响政务服</w:t>
      </w:r>
      <w:r>
        <w:rPr>
          <w:rFonts w:ascii="仿宋_GB2312" w:eastAsia="仿宋_GB2312" w:hAnsi="仿宋_GB2312" w:cs="仿宋_GB2312" w:hint="eastAsia"/>
          <w:sz w:val="32"/>
          <w:szCs w:val="32"/>
        </w:rPr>
        <w:t>务能力的前提下，对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项行政审批中介服务事项予以取消。目前，</w:t>
      </w:r>
      <w:r>
        <w:rPr>
          <w:rFonts w:ascii="仿宋_GB2312" w:eastAsia="仿宋_GB2312" w:hAnsi="仿宋_GB2312" w:cs="仿宋_GB2312" w:hint="eastAsia"/>
          <w:sz w:val="32"/>
          <w:szCs w:val="32"/>
        </w:rPr>
        <w:t>省地方金融监管局</w:t>
      </w:r>
      <w:r>
        <w:rPr>
          <w:rFonts w:ascii="仿宋_GB2312" w:eastAsia="仿宋_GB2312" w:hAnsi="仿宋_GB2312" w:cs="仿宋_GB2312" w:hint="eastAsia"/>
          <w:sz w:val="32"/>
          <w:szCs w:val="32"/>
        </w:rPr>
        <w:t>已没有中介服务事项</w:t>
      </w:r>
      <w:r>
        <w:rPr>
          <w:rFonts w:ascii="仿宋_GB2312" w:eastAsia="仿宋_GB2312" w:hAnsi="仿宋_GB2312" w:cs="仿宋_GB2312" w:hint="eastAsia"/>
          <w:sz w:val="32"/>
          <w:szCs w:val="32"/>
        </w:rPr>
        <w:t>和</w:t>
      </w:r>
      <w:r>
        <w:rPr>
          <w:rFonts w:ascii="仿宋_GB2312" w:eastAsia="仿宋_GB2312" w:hAnsi="仿宋_GB2312" w:cs="仿宋_GB2312" w:hint="eastAsia"/>
          <w:sz w:val="32"/>
          <w:szCs w:val="32"/>
        </w:rPr>
        <w:t>中介服务机构。</w:t>
      </w:r>
    </w:p>
    <w:p w:rsidR="00E63A5A" w:rsidRDefault="006B4C26">
      <w:pPr>
        <w:spacing w:line="360" w:lineRule="auto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建立健全行政许可事项评价情况。</w:t>
      </w:r>
      <w:r>
        <w:rPr>
          <w:rFonts w:ascii="仿宋_GB2312" w:eastAsia="仿宋_GB2312" w:hAnsi="仿宋_GB2312" w:cs="仿宋_GB2312" w:hint="eastAsia"/>
          <w:sz w:val="32"/>
          <w:szCs w:val="32"/>
        </w:rPr>
        <w:t>认真</w:t>
      </w:r>
      <w:r>
        <w:rPr>
          <w:rFonts w:ascii="仿宋_GB2312" w:eastAsia="仿宋_GB2312" w:hAnsi="仿宋_GB2312" w:cs="仿宋_GB2312" w:hint="eastAsia"/>
          <w:sz w:val="32"/>
          <w:szCs w:val="32"/>
        </w:rPr>
        <w:t>贯彻</w:t>
      </w:r>
      <w:r>
        <w:rPr>
          <w:rFonts w:ascii="仿宋_GB2312" w:eastAsia="仿宋_GB2312" w:hAnsi="仿宋_GB2312" w:cs="仿宋_GB2312" w:hint="eastAsia"/>
          <w:sz w:val="32"/>
          <w:szCs w:val="32"/>
        </w:rPr>
        <w:t>落实《广东省行政许可监督管理条例》</w:t>
      </w:r>
      <w:r>
        <w:rPr>
          <w:rFonts w:ascii="仿宋_GB2312" w:eastAsia="仿宋_GB2312" w:hAnsi="仿宋_GB2312" w:cs="仿宋_GB2312" w:hint="eastAsia"/>
          <w:sz w:val="32"/>
          <w:szCs w:val="32"/>
        </w:rPr>
        <w:t>及银保监会有关工作要求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，结合“数字政府”改革建设</w:t>
      </w:r>
      <w:r>
        <w:rPr>
          <w:rFonts w:ascii="仿宋_GB2312" w:eastAsia="仿宋_GB2312" w:hAnsi="仿宋_GB2312" w:cs="仿宋_GB2312" w:hint="eastAsia"/>
          <w:sz w:val="32"/>
          <w:szCs w:val="32"/>
        </w:rPr>
        <w:t>有关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工作部署，</w:t>
      </w:r>
      <w:r>
        <w:rPr>
          <w:rFonts w:ascii="仿宋_GB2312" w:eastAsia="仿宋_GB2312" w:hAnsi="仿宋_GB2312" w:cs="仿宋_GB2312" w:hint="eastAsia"/>
          <w:sz w:val="32"/>
          <w:szCs w:val="32"/>
        </w:rPr>
        <w:t>不断完善行政许可事项评价工作。</w:t>
      </w:r>
      <w:r>
        <w:rPr>
          <w:rFonts w:ascii="仿宋_GB2312" w:eastAsia="仿宋_GB2312" w:hAnsi="仿宋_GB2312" w:cs="仿宋_GB2312" w:hint="eastAsia"/>
          <w:sz w:val="32"/>
          <w:szCs w:val="32"/>
        </w:rPr>
        <w:t>会同省政务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</w:t>
      </w:r>
      <w:r>
        <w:rPr>
          <w:rFonts w:ascii="仿宋_GB2312" w:eastAsia="仿宋_GB2312" w:hAnsi="仿宋_GB2312" w:cs="仿宋_GB2312" w:hint="eastAsia"/>
          <w:sz w:val="32"/>
          <w:szCs w:val="32"/>
        </w:rPr>
        <w:t>数据管理局将</w:t>
      </w:r>
      <w:r>
        <w:rPr>
          <w:rFonts w:ascii="仿宋_GB2312" w:eastAsia="仿宋_GB2312" w:hAnsi="仿宋_GB2312" w:cs="仿宋_GB2312" w:hint="eastAsia"/>
          <w:sz w:val="32"/>
          <w:szCs w:val="32"/>
        </w:rPr>
        <w:t>省地方金融监管局</w:t>
      </w:r>
      <w:r>
        <w:rPr>
          <w:rFonts w:ascii="仿宋_GB2312" w:eastAsia="仿宋_GB2312" w:hAnsi="仿宋_GB2312" w:cs="仿宋_GB2312" w:hint="eastAsia"/>
          <w:sz w:val="32"/>
          <w:szCs w:val="32"/>
        </w:rPr>
        <w:t>政务服务系统与评价</w:t>
      </w:r>
      <w:r>
        <w:rPr>
          <w:rFonts w:ascii="仿宋_GB2312" w:eastAsia="仿宋_GB2312" w:hAnsi="仿宋_GB2312" w:cs="仿宋_GB2312" w:hint="eastAsia"/>
          <w:sz w:val="32"/>
          <w:szCs w:val="32"/>
        </w:rPr>
        <w:t>系统</w:t>
      </w:r>
      <w:r>
        <w:rPr>
          <w:rFonts w:ascii="仿宋_GB2312" w:eastAsia="仿宋_GB2312" w:hAnsi="仿宋_GB2312" w:cs="仿宋_GB2312" w:hint="eastAsia"/>
          <w:sz w:val="32"/>
          <w:szCs w:val="32"/>
        </w:rPr>
        <w:t>打通，政务服务对象可</w:t>
      </w:r>
      <w:r>
        <w:rPr>
          <w:rFonts w:ascii="仿宋_GB2312" w:eastAsia="仿宋_GB2312" w:hAnsi="仿宋_GB2312" w:cs="仿宋_GB2312" w:hint="eastAsia"/>
          <w:sz w:val="32"/>
          <w:szCs w:val="32"/>
        </w:rPr>
        <w:t>围绕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服务规范度、便民度、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</w:t>
      </w:r>
      <w:r>
        <w:rPr>
          <w:rFonts w:ascii="仿宋_GB2312" w:eastAsia="仿宋_GB2312" w:hAnsi="仿宋_GB2312" w:cs="仿宋_GB2312" w:hint="eastAsia"/>
          <w:sz w:val="32"/>
          <w:szCs w:val="32"/>
        </w:rPr>
        <w:t>效率及平台便捷性、完善性等指标进行</w:t>
      </w:r>
      <w:r>
        <w:rPr>
          <w:rFonts w:ascii="仿宋_GB2312" w:eastAsia="仿宋_GB2312" w:hAnsi="仿宋_GB2312" w:cs="仿宋_GB2312" w:hint="eastAsia"/>
          <w:sz w:val="32"/>
          <w:szCs w:val="32"/>
        </w:rPr>
        <w:t>一站式</w:t>
      </w:r>
      <w:r>
        <w:rPr>
          <w:rFonts w:ascii="仿宋_GB2312" w:eastAsia="仿宋_GB2312" w:hAnsi="仿宋_GB2312" w:cs="仿宋_GB2312" w:hint="eastAsia"/>
          <w:sz w:val="32"/>
          <w:szCs w:val="32"/>
        </w:rPr>
        <w:t>评价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反向督促全省金融系统政务服务能力不断提高，同时，积极指导地市金融局按要求做好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相关评价工作。</w:t>
      </w:r>
    </w:p>
    <w:p w:rsidR="00E63A5A" w:rsidRDefault="006B4C26">
      <w:pPr>
        <w:spacing w:line="360" w:lineRule="auto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开展减证便民情况。</w:t>
      </w:r>
      <w:r>
        <w:rPr>
          <w:rFonts w:ascii="仿宋_GB2312" w:eastAsia="仿宋_GB2312" w:hAnsi="仿宋_GB2312" w:cs="仿宋_GB2312" w:hint="eastAsia"/>
          <w:sz w:val="32"/>
          <w:szCs w:val="32"/>
        </w:rPr>
        <w:t>严格落实“没有法律法规规定的证明事项一律取消”的要求，减少重复举证，为证照办理“做减法”。对照《广东省司法厅关于公布广东省设定的证明事项取消和保理清单的函》，共取消证明事项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项。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年度，</w:t>
      </w:r>
      <w:r>
        <w:rPr>
          <w:rFonts w:ascii="仿宋_GB2312" w:eastAsia="仿宋_GB2312" w:hAnsi="仿宋_GB2312" w:cs="仿宋_GB2312" w:hint="eastAsia"/>
          <w:sz w:val="32"/>
          <w:szCs w:val="32"/>
        </w:rPr>
        <w:t>省地方金融监管局</w:t>
      </w:r>
      <w:r>
        <w:rPr>
          <w:rFonts w:ascii="仿宋_GB2312" w:eastAsia="仿宋_GB2312" w:hAnsi="仿宋_GB2312" w:cs="仿宋_GB2312" w:hint="eastAsia"/>
          <w:sz w:val="32"/>
          <w:szCs w:val="32"/>
        </w:rPr>
        <w:t>不存在违法增设证明事项、证明材料的情况，不存在提高证明要求或者随意将行政机关核查义务转嫁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给企业等问题。</w:t>
      </w:r>
    </w:p>
    <w:p w:rsidR="00E63A5A" w:rsidRDefault="006B4C26">
      <w:pPr>
        <w:spacing w:line="360" w:lineRule="auto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（二）数字政府改革建设推进情况</w:t>
      </w:r>
    </w:p>
    <w:p w:rsidR="00E63A5A" w:rsidRDefault="006B4C26">
      <w:pPr>
        <w:spacing w:line="360" w:lineRule="auto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强化服务支撑能力情况。</w:t>
      </w:r>
      <w:r>
        <w:rPr>
          <w:rFonts w:ascii="仿宋_GB2312" w:eastAsia="仿宋_GB2312" w:hAnsi="仿宋_GB2312" w:cs="仿宋_GB2312" w:hint="eastAsia"/>
          <w:sz w:val="32"/>
          <w:szCs w:val="32"/>
        </w:rPr>
        <w:t>大力推进电子证照应用，高频事项中的申请材料能对应电子证照的，均已关联电子证照，能用尽用。</w:t>
      </w:r>
      <w:r>
        <w:rPr>
          <w:rFonts w:ascii="仿宋_GB2312" w:eastAsia="仿宋_GB2312" w:hAnsi="仿宋_GB2312" w:cs="仿宋_GB2312" w:hint="eastAsia"/>
          <w:sz w:val="32"/>
          <w:szCs w:val="32"/>
        </w:rPr>
        <w:t>不断优化</w:t>
      </w:r>
      <w:r>
        <w:rPr>
          <w:rFonts w:ascii="仿宋_GB2312" w:eastAsia="仿宋_GB2312" w:hAnsi="仿宋_GB2312" w:cs="仿宋_GB2312" w:hint="eastAsia"/>
          <w:sz w:val="32"/>
          <w:szCs w:val="32"/>
        </w:rPr>
        <w:t>政务数据共享</w:t>
      </w:r>
      <w:r>
        <w:rPr>
          <w:rFonts w:ascii="仿宋_GB2312" w:eastAsia="仿宋_GB2312" w:hAnsi="仿宋_GB2312" w:cs="仿宋_GB2312" w:hint="eastAsia"/>
          <w:sz w:val="32"/>
          <w:szCs w:val="32"/>
        </w:rPr>
        <w:t>水平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着力提高政府侧数据调用力度，</w:t>
      </w:r>
      <w:r>
        <w:rPr>
          <w:rFonts w:ascii="仿宋_GB2312" w:eastAsia="仿宋_GB2312" w:hAnsi="仿宋_GB2312" w:cs="仿宋_GB2312" w:hint="eastAsia"/>
          <w:sz w:val="32"/>
          <w:szCs w:val="32"/>
        </w:rPr>
        <w:t>积极推进政府核发的材料交叉验证，共梳理</w:t>
      </w:r>
      <w:r>
        <w:rPr>
          <w:rFonts w:ascii="仿宋_GB2312" w:eastAsia="仿宋_GB2312" w:hAnsi="仿宋_GB2312" w:cs="仿宋_GB2312" w:hint="eastAsia"/>
          <w:sz w:val="32"/>
          <w:szCs w:val="32"/>
        </w:rPr>
        <w:t>出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类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项</w:t>
      </w:r>
      <w:r>
        <w:rPr>
          <w:rFonts w:ascii="仿宋_GB2312" w:eastAsia="仿宋_GB2312" w:hAnsi="仿宋_GB2312" w:cs="仿宋_GB2312" w:hint="eastAsia"/>
          <w:sz w:val="32"/>
          <w:szCs w:val="32"/>
        </w:rPr>
        <w:t>关联</w:t>
      </w:r>
      <w:r>
        <w:rPr>
          <w:rFonts w:ascii="仿宋_GB2312" w:eastAsia="仿宋_GB2312" w:hAnsi="仿宋_GB2312" w:cs="仿宋_GB2312" w:hint="eastAsia"/>
          <w:sz w:val="32"/>
          <w:szCs w:val="32"/>
        </w:rPr>
        <w:t>电子证照和政务数据需求清单，并</w:t>
      </w:r>
      <w:r>
        <w:rPr>
          <w:rFonts w:ascii="仿宋_GB2312" w:eastAsia="仿宋_GB2312" w:hAnsi="仿宋_GB2312" w:cs="仿宋_GB2312" w:hint="eastAsia"/>
          <w:sz w:val="32"/>
          <w:szCs w:val="32"/>
        </w:rPr>
        <w:t>推进</w:t>
      </w:r>
      <w:r>
        <w:rPr>
          <w:rFonts w:ascii="仿宋_GB2312" w:eastAsia="仿宋_GB2312" w:hAnsi="仿宋_GB2312" w:cs="仿宋_GB2312" w:hint="eastAsia"/>
          <w:sz w:val="32"/>
          <w:szCs w:val="32"/>
        </w:rPr>
        <w:t>交叉验证</w:t>
      </w:r>
      <w:r>
        <w:rPr>
          <w:rFonts w:ascii="仿宋_GB2312" w:eastAsia="仿宋_GB2312" w:hAnsi="仿宋_GB2312" w:cs="仿宋_GB2312" w:hint="eastAsia"/>
          <w:sz w:val="32"/>
          <w:szCs w:val="32"/>
        </w:rPr>
        <w:t>落地实施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有效</w:t>
      </w:r>
      <w:r>
        <w:rPr>
          <w:rFonts w:ascii="仿宋_GB2312" w:eastAsia="仿宋_GB2312" w:hAnsi="仿宋_GB2312" w:cs="仿宋_GB2312" w:hint="eastAsia"/>
          <w:sz w:val="32"/>
          <w:szCs w:val="32"/>
        </w:rPr>
        <w:t>降低</w:t>
      </w:r>
      <w:r>
        <w:rPr>
          <w:rFonts w:ascii="仿宋_GB2312" w:eastAsia="仿宋_GB2312" w:hAnsi="仿宋_GB2312" w:cs="仿宋_GB2312" w:hint="eastAsia"/>
          <w:sz w:val="32"/>
          <w:szCs w:val="32"/>
        </w:rPr>
        <w:t>了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企业和群众办事材料</w:t>
      </w:r>
      <w:r>
        <w:rPr>
          <w:rFonts w:ascii="仿宋_GB2312" w:eastAsia="仿宋_GB2312" w:hAnsi="仿宋_GB2312" w:cs="仿宋_GB2312" w:hint="eastAsia"/>
          <w:sz w:val="32"/>
          <w:szCs w:val="32"/>
        </w:rPr>
        <w:t>提供率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实现</w:t>
      </w:r>
      <w:r>
        <w:rPr>
          <w:rFonts w:ascii="仿宋_GB2312" w:eastAsia="仿宋_GB2312" w:hAnsi="仿宋_GB2312" w:cs="仿宋_GB2312" w:hint="eastAsia"/>
          <w:sz w:val="32"/>
          <w:szCs w:val="32"/>
        </w:rPr>
        <w:t>更多网办政务服务事项免证办。</w:t>
      </w:r>
    </w:p>
    <w:p w:rsidR="00E63A5A" w:rsidRDefault="006B4C26">
      <w:pPr>
        <w:spacing w:line="360" w:lineRule="auto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优化服务供给方式情况。</w:t>
      </w:r>
      <w:r>
        <w:rPr>
          <w:rFonts w:ascii="仿宋_GB2312" w:eastAsia="仿宋_GB2312" w:hAnsi="仿宋_GB2312" w:cs="仿宋_GB2312" w:hint="eastAsia"/>
          <w:sz w:val="32"/>
          <w:szCs w:val="32"/>
        </w:rPr>
        <w:t>深化政府服务事项网上办、指尖办，优化线上线下政务服务</w:t>
      </w:r>
      <w:r>
        <w:rPr>
          <w:rFonts w:ascii="仿宋_GB2312" w:eastAsia="仿宋_GB2312" w:hAnsi="仿宋_GB2312" w:cs="仿宋_GB2312" w:hint="eastAsia"/>
          <w:sz w:val="32"/>
          <w:szCs w:val="32"/>
        </w:rPr>
        <w:t>效率和流程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目前，</w:t>
      </w:r>
      <w:r>
        <w:rPr>
          <w:rFonts w:ascii="仿宋_GB2312" w:eastAsia="仿宋_GB2312" w:hAnsi="仿宋_GB2312" w:cs="仿宋_GB2312" w:hint="eastAsia"/>
          <w:sz w:val="32"/>
          <w:szCs w:val="32"/>
        </w:rPr>
        <w:t>省地方金融监管局</w:t>
      </w:r>
      <w:r>
        <w:rPr>
          <w:rFonts w:ascii="仿宋_GB2312" w:eastAsia="仿宋_GB2312" w:hAnsi="仿宋_GB2312" w:cs="仿宋_GB2312" w:hint="eastAsia"/>
          <w:sz w:val="32"/>
          <w:szCs w:val="32"/>
        </w:rPr>
        <w:t>依申请办理的政务服务事项均可通过省统一申办平台在线申办，</w:t>
      </w:r>
      <w:r>
        <w:rPr>
          <w:rFonts w:ascii="仿宋_GB2312" w:eastAsia="仿宋_GB2312" w:hAnsi="仿宋_GB2312" w:cs="仿宋_GB2312" w:hint="eastAsia"/>
          <w:sz w:val="32"/>
          <w:szCs w:val="32"/>
        </w:rPr>
        <w:t>同时，</w:t>
      </w:r>
      <w:r>
        <w:rPr>
          <w:rFonts w:ascii="仿宋_GB2312" w:eastAsia="仿宋_GB2312" w:hAnsi="仿宋_GB2312" w:cs="仿宋_GB2312" w:hint="eastAsia"/>
          <w:sz w:val="32"/>
          <w:szCs w:val="32"/>
        </w:rPr>
        <w:t>在省政务服务网</w:t>
      </w:r>
      <w:r>
        <w:rPr>
          <w:rFonts w:ascii="仿宋_GB2312" w:eastAsia="仿宋_GB2312" w:hAnsi="仿宋_GB2312" w:cs="仿宋_GB2312" w:hint="eastAsia"/>
          <w:sz w:val="32"/>
          <w:szCs w:val="32"/>
        </w:rPr>
        <w:t>和</w:t>
      </w:r>
      <w:r>
        <w:rPr>
          <w:rFonts w:ascii="仿宋_GB2312" w:eastAsia="仿宋_GB2312" w:hAnsi="仿宋_GB2312" w:cs="仿宋_GB2312" w:hint="eastAsia"/>
          <w:sz w:val="32"/>
          <w:szCs w:val="32"/>
        </w:rPr>
        <w:t>省地方金融监管局</w:t>
      </w:r>
      <w:r>
        <w:rPr>
          <w:rFonts w:ascii="仿宋_GB2312" w:eastAsia="仿宋_GB2312" w:hAnsi="仿宋_GB2312" w:cs="仿宋_GB2312" w:hint="eastAsia"/>
          <w:sz w:val="32"/>
          <w:szCs w:val="32"/>
        </w:rPr>
        <w:t>门户网站上均匹配了办事</w:t>
      </w:r>
      <w:r>
        <w:rPr>
          <w:rFonts w:ascii="仿宋_GB2312" w:eastAsia="仿宋_GB2312" w:hAnsi="仿宋_GB2312" w:cs="仿宋_GB2312" w:hint="eastAsia"/>
          <w:sz w:val="32"/>
          <w:szCs w:val="32"/>
        </w:rPr>
        <w:t>链接，</w:t>
      </w:r>
      <w:r>
        <w:rPr>
          <w:rFonts w:ascii="仿宋_GB2312" w:eastAsia="仿宋_GB2312" w:hAnsi="仿宋_GB2312" w:cs="仿宋_GB2312" w:hint="eastAsia"/>
          <w:sz w:val="32"/>
          <w:szCs w:val="32"/>
        </w:rPr>
        <w:t>实现了更多渠道线上办理、便捷办理，</w:t>
      </w:r>
      <w:r>
        <w:rPr>
          <w:rFonts w:ascii="仿宋_GB2312" w:eastAsia="仿宋_GB2312" w:hAnsi="仿宋_GB2312" w:cs="仿宋_GB2312" w:hint="eastAsia"/>
          <w:sz w:val="32"/>
          <w:szCs w:val="32"/>
        </w:rPr>
        <w:t>网上可办理率达到</w:t>
      </w:r>
      <w:r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省地方金融监管局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通过政务服务网办理小额贷款公司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融资担保公司业务办结率和网结率均为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63A5A" w:rsidRDefault="006B4C26">
      <w:pPr>
        <w:spacing w:line="360" w:lineRule="auto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提升服务效能情况。</w:t>
      </w:r>
      <w:r>
        <w:rPr>
          <w:rFonts w:ascii="仿宋_GB2312" w:eastAsia="仿宋_GB2312" w:hAnsi="仿宋_GB2312" w:cs="仿宋_GB2312" w:hint="eastAsia"/>
          <w:sz w:val="32"/>
          <w:szCs w:val="32"/>
        </w:rPr>
        <w:t>积极发挥一体化政府服务平台作用，紧贴企业和群众办事需要，不断提升企业群众获得感。</w:t>
      </w:r>
      <w:r>
        <w:rPr>
          <w:rFonts w:ascii="仿宋_GB2312" w:eastAsia="仿宋_GB2312" w:hAnsi="仿宋_GB2312" w:cs="仿宋_GB2312" w:hint="eastAsia"/>
          <w:sz w:val="32"/>
          <w:szCs w:val="32"/>
        </w:rPr>
        <w:t>大力提高办事审核效率，压减办件时间，</w:t>
      </w:r>
      <w:r>
        <w:rPr>
          <w:rFonts w:ascii="仿宋_GB2312" w:eastAsia="仿宋_GB2312" w:hAnsi="仿宋_GB2312" w:cs="仿宋_GB2312" w:hint="eastAsia"/>
          <w:sz w:val="32"/>
          <w:szCs w:val="32"/>
        </w:rPr>
        <w:t>办理效率日趋提高。小额贷款公司设立审批的办理时限已从</w:t>
      </w:r>
      <w:r>
        <w:rPr>
          <w:rFonts w:ascii="仿宋_GB2312" w:eastAsia="仿宋_GB2312" w:hAnsi="仿宋_GB2312" w:cs="仿宋_GB2312" w:hint="eastAsia"/>
          <w:sz w:val="32"/>
          <w:szCs w:val="32"/>
        </w:rPr>
        <w:t>45</w:t>
      </w:r>
      <w:r>
        <w:rPr>
          <w:rFonts w:ascii="仿宋_GB2312" w:eastAsia="仿宋_GB2312" w:hAnsi="仿宋_GB2312" w:cs="仿宋_GB2312" w:hint="eastAsia"/>
          <w:sz w:val="32"/>
          <w:szCs w:val="32"/>
        </w:rPr>
        <w:t>天压减至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天、小额贷款公司注销试点资格审核的办理时限已从</w:t>
      </w:r>
      <w:r>
        <w:rPr>
          <w:rFonts w:ascii="仿宋_GB2312" w:eastAsia="仿宋_GB2312" w:hAnsi="仿宋_GB2312" w:cs="仿宋_GB2312" w:hint="eastAsia"/>
          <w:sz w:val="32"/>
          <w:szCs w:val="32"/>
        </w:rPr>
        <w:t>35</w:t>
      </w:r>
      <w:r>
        <w:rPr>
          <w:rFonts w:ascii="仿宋_GB2312" w:eastAsia="仿宋_GB2312" w:hAnsi="仿宋_GB2312" w:cs="仿宋_GB2312" w:hint="eastAsia"/>
          <w:sz w:val="32"/>
          <w:szCs w:val="32"/>
        </w:rPr>
        <w:t>天压减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至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天（不含特别程序时间）。推行预约办理、一次性告知、</w:t>
      </w:r>
      <w:r>
        <w:rPr>
          <w:rFonts w:ascii="仿宋_GB2312" w:eastAsia="仿宋_GB2312" w:hAnsi="仿宋_GB2312" w:cs="仿宋_GB2312" w:hint="eastAsia"/>
          <w:sz w:val="32"/>
          <w:szCs w:val="32"/>
        </w:rPr>
        <w:t>容缺受理、</w:t>
      </w:r>
      <w:r>
        <w:rPr>
          <w:rFonts w:ascii="仿宋_GB2312" w:eastAsia="仿宋_GB2312" w:hAnsi="仿宋_GB2312" w:cs="仿宋_GB2312" w:hint="eastAsia"/>
          <w:sz w:val="32"/>
          <w:szCs w:val="32"/>
        </w:rPr>
        <w:t>限期办结等多种线上服务，实现全天候在线申请，保障行政审批的规范化和制度化，</w:t>
      </w:r>
      <w:r>
        <w:rPr>
          <w:rFonts w:ascii="仿宋_GB2312" w:eastAsia="仿宋_GB2312" w:hAnsi="仿宋_GB2312" w:cs="仿宋_GB2312" w:hint="eastAsia"/>
          <w:sz w:val="32"/>
          <w:szCs w:val="32"/>
        </w:rPr>
        <w:t>政务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服务质量</w:t>
      </w:r>
      <w:r>
        <w:rPr>
          <w:rFonts w:ascii="仿宋_GB2312" w:eastAsia="仿宋_GB2312" w:hAnsi="仿宋_GB2312" w:cs="仿宋_GB2312" w:hint="eastAsia"/>
          <w:sz w:val="32"/>
          <w:szCs w:val="32"/>
        </w:rPr>
        <w:t>不断提升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63A5A" w:rsidRDefault="006B4C26">
      <w:pPr>
        <w:spacing w:line="360" w:lineRule="auto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（三）加强事中事后监管情况</w:t>
      </w:r>
    </w:p>
    <w:p w:rsidR="00E63A5A" w:rsidRDefault="006B4C26">
      <w:pPr>
        <w:spacing w:line="360" w:lineRule="auto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建立健全监管制度情况。</w:t>
      </w:r>
      <w:r>
        <w:rPr>
          <w:rFonts w:ascii="仿宋_GB2312" w:eastAsia="仿宋_GB2312" w:hAnsi="仿宋_GB2312" w:cs="仿宋_GB2312" w:hint="eastAsia"/>
          <w:sz w:val="32"/>
          <w:szCs w:val="32"/>
        </w:rPr>
        <w:t>制订《广东省地方金融监督管理局行政检查工作规程（试行）》，进一步规范行政检查工作，促进严格规范文明执法。制订《广东省地方金融监督管理局行政处罚自由裁量权使用规则（试行）》，规范行政处罚自由裁量权的行使。印发《关于加强当前融资担保行业管理工作的通知》《关于加强融资担保公司跨省域业务管理的通知》，进一步完善融资担保行业监管制度，促进融资担保行业高质量发展。按照银保监会要求对省、市出台的地方金融组织监管文件进行存量梳理、增量把关，切实维</w:t>
      </w:r>
      <w:r>
        <w:rPr>
          <w:rFonts w:ascii="仿宋_GB2312" w:eastAsia="仿宋_GB2312" w:hAnsi="仿宋_GB2312" w:cs="仿宋_GB2312" w:hint="eastAsia"/>
          <w:sz w:val="32"/>
          <w:szCs w:val="32"/>
        </w:rPr>
        <w:t>护监管政策的严肃性和统一性。</w:t>
      </w:r>
    </w:p>
    <w:p w:rsidR="00E63A5A" w:rsidRDefault="006B4C26">
      <w:pPr>
        <w:spacing w:line="360" w:lineRule="auto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开展监管情况。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加强非现场监管，组织完成对</w:t>
      </w:r>
      <w:r>
        <w:rPr>
          <w:rFonts w:ascii="仿宋_GB2312" w:eastAsia="仿宋_GB2312" w:hAnsi="仿宋_GB2312" w:cs="仿宋_GB2312" w:hint="eastAsia"/>
          <w:sz w:val="32"/>
          <w:szCs w:val="32"/>
        </w:rPr>
        <w:t>389</w:t>
      </w:r>
      <w:r>
        <w:rPr>
          <w:rFonts w:ascii="仿宋_GB2312" w:eastAsia="仿宋_GB2312" w:hAnsi="仿宋_GB2312" w:cs="仿宋_GB2312" w:hint="eastAsia"/>
          <w:sz w:val="32"/>
          <w:szCs w:val="32"/>
        </w:rPr>
        <w:t>家开业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年以上的小额贷款公司的监管评级，评级结果从优到劣划分为</w:t>
      </w:r>
      <w:r>
        <w:rPr>
          <w:rFonts w:ascii="仿宋_GB2312" w:eastAsia="仿宋_GB2312" w:hAnsi="仿宋_GB2312" w:cs="仿宋_GB2312" w:hint="eastAsia"/>
          <w:sz w:val="32"/>
          <w:szCs w:val="32"/>
        </w:rPr>
        <w:t>AAA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AA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A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BB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B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C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D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E</w:t>
      </w:r>
      <w:r>
        <w:rPr>
          <w:rFonts w:ascii="仿宋_GB2312" w:eastAsia="仿宋_GB2312" w:hAnsi="仿宋_GB2312" w:cs="仿宋_GB2312" w:hint="eastAsia"/>
          <w:sz w:val="32"/>
          <w:szCs w:val="32"/>
        </w:rPr>
        <w:t>八个等次，有效推进差异化分级分类监管。截至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年末，超过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家优质小贷公司获批享受相关优惠政策。有效实施现场检查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依法依规对省级小额贷款公司、融资担保公司、地方资产管理公司开展现场检查，及时出具《现场检查意见书》，进一步促进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企业合规经营、稳健发展。认真开展行业清理规范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指导广州、深圳成立商业保理专项清理排查工作小组，开发清理规</w:t>
      </w:r>
      <w:r>
        <w:rPr>
          <w:rFonts w:ascii="仿宋_GB2312" w:eastAsia="仿宋_GB2312" w:hAnsi="仿宋_GB2312" w:cs="仿宋_GB2312" w:hint="eastAsia"/>
          <w:sz w:val="32"/>
          <w:szCs w:val="32"/>
        </w:rPr>
        <w:t>范线上程序，推进现场和非现场检查，落实企业自查自纠，对近</w:t>
      </w:r>
      <w:r>
        <w:rPr>
          <w:rFonts w:ascii="仿宋_GB2312" w:eastAsia="仿宋_GB2312" w:hAnsi="仿宋_GB2312" w:cs="仿宋_GB2312" w:hint="eastAsia"/>
          <w:sz w:val="32"/>
          <w:szCs w:val="32"/>
        </w:rPr>
        <w:t>4000</w:t>
      </w:r>
      <w:r>
        <w:rPr>
          <w:rFonts w:ascii="仿宋_GB2312" w:eastAsia="仿宋_GB2312" w:hAnsi="仿宋_GB2312" w:cs="仿宋_GB2312" w:hint="eastAsia"/>
          <w:sz w:val="32"/>
          <w:szCs w:val="32"/>
        </w:rPr>
        <w:t>家建档企业逐一审核，制定商业保理企业首批监管名单。指导深圳、珠海市率先公布商业保理企业“失联”名单，在全国范围内形成示范效应。稳步推进融资租赁行业清理排查，结合融资担保换证工作，清理非持证融资担保公司及实质经营融资担保业务的住房置业担保、信用增进公司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</w:t>
      </w:r>
      <w:r>
        <w:rPr>
          <w:rFonts w:ascii="仿宋_GB2312" w:eastAsia="仿宋_GB2312" w:hAnsi="仿宋_GB2312" w:cs="仿宋_GB2312" w:hint="eastAsia"/>
          <w:sz w:val="32"/>
          <w:szCs w:val="32"/>
        </w:rPr>
        <w:t>全省基本完成《融资担保业务经营许可证》换发工作，持证融资担保公司名录及时公布，并函告省法院。全年未发生重大监管失职事故。</w:t>
      </w:r>
    </w:p>
    <w:p w:rsidR="00E63A5A" w:rsidRDefault="006B4C26">
      <w:pPr>
        <w:spacing w:line="360" w:lineRule="auto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创新监管方式情况。</w:t>
      </w:r>
      <w:r>
        <w:rPr>
          <w:rFonts w:ascii="仿宋_GB2312" w:eastAsia="仿宋_GB2312" w:hAnsi="仿宋_GB2312" w:cs="仿宋_GB2312" w:hint="eastAsia"/>
          <w:sz w:val="32"/>
          <w:szCs w:val="32"/>
        </w:rPr>
        <w:t>全面修订小贷公司非现场监管报表体系，将</w:t>
      </w:r>
      <w:r>
        <w:rPr>
          <w:rFonts w:ascii="仿宋_GB2312" w:eastAsia="仿宋_GB2312" w:hAnsi="仿宋_GB2312" w:cs="仿宋_GB2312" w:hint="eastAsia"/>
          <w:sz w:val="32"/>
          <w:szCs w:val="32"/>
        </w:rPr>
        <w:t>银行业通用的国际骆驼评级法（</w:t>
      </w:r>
      <w:r>
        <w:rPr>
          <w:rFonts w:ascii="仿宋_GB2312" w:eastAsia="仿宋_GB2312" w:hAnsi="仿宋_GB2312" w:cs="仿宋_GB2312" w:hint="eastAsia"/>
          <w:sz w:val="32"/>
          <w:szCs w:val="32"/>
        </w:rPr>
        <w:t>CAMEL</w:t>
      </w:r>
      <w:r>
        <w:rPr>
          <w:rFonts w:ascii="仿宋_GB2312" w:eastAsia="仿宋_GB2312" w:hAnsi="仿宋_GB2312" w:cs="仿宋_GB2312" w:hint="eastAsia"/>
          <w:sz w:val="32"/>
          <w:szCs w:val="32"/>
        </w:rPr>
        <w:t>）改良运用于小额贷款公司监管评级领域，创设小额贷款公司“楷模”评级体系，对不同评级的小贷公司精准实施分级分类监管。</w:t>
      </w:r>
      <w:r>
        <w:rPr>
          <w:rFonts w:ascii="仿宋_GB2312" w:eastAsia="仿宋_GB2312" w:hAnsi="仿宋_GB2312" w:cs="仿宋_GB2312" w:hint="eastAsia"/>
          <w:sz w:val="32"/>
          <w:szCs w:val="32"/>
        </w:rPr>
        <w:t>充分应用</w:t>
      </w:r>
      <w:r>
        <w:rPr>
          <w:rFonts w:ascii="仿宋_GB2312" w:eastAsia="仿宋_GB2312" w:hAnsi="仿宋_GB2312" w:cs="仿宋_GB2312" w:hint="eastAsia"/>
          <w:sz w:val="32"/>
          <w:szCs w:val="32"/>
        </w:rPr>
        <w:t>人工智能、大数据和云计算等</w:t>
      </w:r>
      <w:r>
        <w:rPr>
          <w:rFonts w:ascii="仿宋_GB2312" w:eastAsia="仿宋_GB2312" w:hAnsi="仿宋_GB2312" w:cs="仿宋_GB2312" w:hint="eastAsia"/>
          <w:sz w:val="32"/>
          <w:szCs w:val="32"/>
        </w:rPr>
        <w:t>先进</w:t>
      </w:r>
      <w:r>
        <w:rPr>
          <w:rFonts w:ascii="仿宋_GB2312" w:eastAsia="仿宋_GB2312" w:hAnsi="仿宋_GB2312" w:cs="仿宋_GB2312" w:hint="eastAsia"/>
          <w:sz w:val="32"/>
          <w:szCs w:val="32"/>
        </w:rPr>
        <w:t>技术，</w:t>
      </w:r>
      <w:r>
        <w:rPr>
          <w:rFonts w:ascii="仿宋_GB2312" w:eastAsia="仿宋_GB2312" w:hAnsi="仿宋_GB2312" w:cs="仿宋_GB2312" w:hint="eastAsia"/>
          <w:sz w:val="32"/>
          <w:szCs w:val="32"/>
        </w:rPr>
        <w:t>探索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建设地方金融非现场监管</w:t>
      </w:r>
      <w:r>
        <w:rPr>
          <w:rFonts w:ascii="仿宋_GB2312" w:eastAsia="仿宋_GB2312" w:hAnsi="仿宋_GB2312" w:cs="仿宋_GB2312" w:hint="eastAsia"/>
          <w:sz w:val="32"/>
          <w:szCs w:val="32"/>
        </w:rPr>
        <w:t>系统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进一步</w:t>
      </w:r>
      <w:r>
        <w:rPr>
          <w:rFonts w:ascii="仿宋_GB2312" w:eastAsia="仿宋_GB2312" w:hAnsi="仿宋_GB2312" w:cs="仿宋_GB2312" w:hint="eastAsia"/>
          <w:sz w:val="32"/>
          <w:szCs w:val="32"/>
        </w:rPr>
        <w:t>提高监管能力和和效率。</w:t>
      </w:r>
    </w:p>
    <w:p w:rsidR="00E63A5A" w:rsidRDefault="006B4C26">
      <w:pPr>
        <w:spacing w:line="360" w:lineRule="auto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（四）投诉举报和服务对象满意情况</w:t>
      </w:r>
    </w:p>
    <w:p w:rsidR="00E63A5A" w:rsidRDefault="006B4C26">
      <w:pPr>
        <w:spacing w:line="360" w:lineRule="auto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政务服务“好差评”情况。</w:t>
      </w:r>
      <w:r>
        <w:rPr>
          <w:rFonts w:ascii="仿宋_GB2312" w:eastAsia="仿宋_GB2312" w:hAnsi="仿宋_GB2312" w:cs="仿宋_GB2312" w:hint="eastAsia"/>
          <w:sz w:val="32"/>
          <w:szCs w:val="32"/>
        </w:rPr>
        <w:t>严格落实《广东省政务服务“好差评”管理办法》有关要求，认真组织实施</w:t>
      </w:r>
      <w:r>
        <w:rPr>
          <w:rFonts w:ascii="仿宋_GB2312" w:eastAsia="仿宋_GB2312" w:hAnsi="仿宋_GB2312" w:cs="仿宋_GB2312" w:hint="eastAsia"/>
          <w:sz w:val="32"/>
          <w:szCs w:val="32"/>
        </w:rPr>
        <w:t>省地方金融监管局</w:t>
      </w:r>
      <w:r>
        <w:rPr>
          <w:rFonts w:ascii="仿宋_GB2312" w:eastAsia="仿宋_GB2312" w:hAnsi="仿宋_GB2312" w:cs="仿宋_GB2312" w:hint="eastAsia"/>
          <w:sz w:val="32"/>
          <w:szCs w:val="32"/>
        </w:rPr>
        <w:t>“好差评”工作。明确责任处室和人员，在政务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服务系统打通评价渠道，并将评价结果作为单位内部考核的重要依据之一。按照自愿真实、公开透明、统一标准的原则，利用政府服务系统、微信等同种线上方式鼓励引导服务对象开展评价，通过外部监督不断提高政务服务水平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年度，</w:t>
      </w:r>
      <w:r>
        <w:rPr>
          <w:rFonts w:ascii="仿宋_GB2312" w:eastAsia="仿宋_GB2312" w:hAnsi="仿宋_GB2312" w:cs="仿宋_GB2312" w:hint="eastAsia"/>
          <w:sz w:val="32"/>
          <w:szCs w:val="32"/>
        </w:rPr>
        <w:t>省地方金融监管局</w:t>
      </w:r>
      <w:r>
        <w:rPr>
          <w:rFonts w:ascii="仿宋_GB2312" w:eastAsia="仿宋_GB2312" w:hAnsi="仿宋_GB2312" w:cs="仿宋_GB2312" w:hint="eastAsia"/>
          <w:sz w:val="32"/>
          <w:szCs w:val="32"/>
        </w:rPr>
        <w:t>未收到差评。</w:t>
      </w:r>
    </w:p>
    <w:p w:rsidR="00E63A5A" w:rsidRDefault="006B4C26">
      <w:pPr>
        <w:spacing w:line="360" w:lineRule="auto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12.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咨询、投诉、求助、建议办理情况。</w:t>
      </w:r>
      <w:r>
        <w:rPr>
          <w:rFonts w:ascii="仿宋_GB2312" w:eastAsia="仿宋_GB2312" w:hAnsi="仿宋_GB2312" w:cs="仿宋_GB2312" w:hint="eastAsia"/>
          <w:sz w:val="32"/>
          <w:szCs w:val="32"/>
        </w:rPr>
        <w:t>不断增强政务服务事项</w:t>
      </w:r>
      <w:r>
        <w:rPr>
          <w:rFonts w:ascii="仿宋_GB2312" w:eastAsia="仿宋_GB2312" w:hAnsi="仿宋_GB2312" w:cs="仿宋_GB2312" w:hint="eastAsia"/>
          <w:sz w:val="32"/>
          <w:szCs w:val="32"/>
        </w:rPr>
        <w:t>办事指南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可读性和易懂性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进一步场景化、精细化编制和展示办事指南，优化政务服务网整体栏目布局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丰富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服务提供方式，完善搜索和结果展示功能。持续更新维护</w:t>
      </w:r>
      <w:r>
        <w:rPr>
          <w:rFonts w:ascii="仿宋_GB2312" w:eastAsia="仿宋_GB2312" w:hAnsi="仿宋_GB2312" w:cs="仿宋_GB2312" w:hint="eastAsia"/>
          <w:sz w:val="32"/>
          <w:szCs w:val="32"/>
        </w:rPr>
        <w:t>省地方金融监管局</w:t>
      </w:r>
      <w:r>
        <w:rPr>
          <w:rFonts w:ascii="仿宋_GB2312" w:eastAsia="仿宋_GB2312" w:hAnsi="仿宋_GB2312" w:cs="仿宋_GB2312" w:hint="eastAsia"/>
          <w:sz w:val="32"/>
          <w:szCs w:val="32"/>
        </w:rPr>
        <w:t>办件</w:t>
      </w:r>
      <w:r>
        <w:rPr>
          <w:rFonts w:ascii="仿宋_GB2312" w:eastAsia="仿宋_GB2312" w:hAnsi="仿宋_GB2312" w:cs="仿宋_GB2312" w:hint="eastAsia"/>
          <w:sz w:val="32"/>
          <w:szCs w:val="32"/>
        </w:rPr>
        <w:t>知识库，按时更新知识信息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定期检查</w:t>
      </w:r>
      <w:r>
        <w:rPr>
          <w:rFonts w:ascii="仿宋_GB2312" w:eastAsia="仿宋_GB2312" w:hAnsi="仿宋_GB2312" w:cs="仿宋_GB2312" w:hint="eastAsia"/>
          <w:sz w:val="32"/>
          <w:szCs w:val="32"/>
        </w:rPr>
        <w:t>核验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确保</w:t>
      </w:r>
      <w:r>
        <w:rPr>
          <w:rFonts w:ascii="仿宋_GB2312" w:eastAsia="仿宋_GB2312" w:hAnsi="仿宋_GB2312" w:cs="仿宋_GB2312" w:hint="eastAsia"/>
          <w:sz w:val="32"/>
          <w:szCs w:val="32"/>
        </w:rPr>
        <w:t>知识</w:t>
      </w:r>
      <w:r>
        <w:rPr>
          <w:rFonts w:ascii="仿宋_GB2312" w:eastAsia="仿宋_GB2312" w:hAnsi="仿宋_GB2312" w:cs="仿宋_GB2312" w:hint="eastAsia"/>
          <w:sz w:val="32"/>
          <w:szCs w:val="32"/>
        </w:rPr>
        <w:t>库准确、</w:t>
      </w:r>
      <w:r>
        <w:rPr>
          <w:rFonts w:ascii="仿宋_GB2312" w:eastAsia="仿宋_GB2312" w:hAnsi="仿宋_GB2312" w:cs="仿宋_GB2312" w:hint="eastAsia"/>
          <w:sz w:val="32"/>
          <w:szCs w:val="32"/>
        </w:rPr>
        <w:t>有效。认真及时办理政务服务网、门户网站、</w:t>
      </w:r>
      <w:r>
        <w:rPr>
          <w:rFonts w:ascii="仿宋_GB2312" w:eastAsia="仿宋_GB2312" w:hAnsi="仿宋_GB2312" w:cs="仿宋_GB2312" w:hint="eastAsia"/>
          <w:sz w:val="32"/>
          <w:szCs w:val="32"/>
        </w:rPr>
        <w:t>12345</w:t>
      </w:r>
      <w:r>
        <w:rPr>
          <w:rFonts w:ascii="仿宋_GB2312" w:eastAsia="仿宋_GB2312" w:hAnsi="仿宋_GB2312" w:cs="仿宋_GB2312" w:hint="eastAsia"/>
          <w:sz w:val="32"/>
          <w:szCs w:val="32"/>
        </w:rPr>
        <w:t>热线、粤省事、粤商通等渠道收到的咨询、投诉、求助、建议类工单。</w:t>
      </w:r>
    </w:p>
    <w:p w:rsidR="00E63A5A" w:rsidRDefault="006B4C26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二、存在</w:t>
      </w:r>
      <w:r>
        <w:rPr>
          <w:rFonts w:ascii="黑体" w:eastAsia="黑体" w:hAnsi="黑体" w:cs="黑体" w:hint="eastAsia"/>
          <w:sz w:val="32"/>
          <w:szCs w:val="32"/>
        </w:rPr>
        <w:t>不足和</w:t>
      </w:r>
      <w:r>
        <w:rPr>
          <w:rFonts w:ascii="黑体" w:eastAsia="黑体" w:hAnsi="黑体" w:cs="黑体" w:hint="eastAsia"/>
          <w:sz w:val="32"/>
          <w:szCs w:val="32"/>
        </w:rPr>
        <w:t>下一步工作计划</w:t>
      </w:r>
    </w:p>
    <w:p w:rsidR="00E63A5A" w:rsidRDefault="006B4C26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目前，</w:t>
      </w:r>
      <w:r>
        <w:rPr>
          <w:rFonts w:ascii="仿宋_GB2312" w:eastAsia="仿宋_GB2312" w:hAnsi="仿宋_GB2312" w:cs="仿宋_GB2312" w:hint="eastAsia"/>
          <w:sz w:val="32"/>
          <w:szCs w:val="32"/>
        </w:rPr>
        <w:t>地方金融组织</w:t>
      </w:r>
      <w:r>
        <w:rPr>
          <w:rFonts w:ascii="仿宋_GB2312" w:eastAsia="仿宋_GB2312" w:hAnsi="仿宋_GB2312" w:cs="仿宋_GB2312" w:hint="eastAsia"/>
          <w:sz w:val="32"/>
          <w:szCs w:val="32"/>
        </w:rPr>
        <w:t>监管规则还有待进一步完善，省市两级协调统筹力度还有待加强。下步，将从以下四个方面重点推动：</w:t>
      </w:r>
    </w:p>
    <w:p w:rsidR="00E63A5A" w:rsidRDefault="006B4C26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（一）持续完善监管</w:t>
      </w:r>
      <w:r>
        <w:rPr>
          <w:rFonts w:ascii="楷体_GB2312" w:eastAsia="楷体_GB2312" w:hAnsi="楷体_GB2312" w:cs="楷体_GB2312" w:hint="eastAsia"/>
          <w:sz w:val="32"/>
          <w:szCs w:val="32"/>
        </w:rPr>
        <w:t>规则制度</w:t>
      </w:r>
      <w:r>
        <w:rPr>
          <w:rFonts w:ascii="楷体_GB2312" w:eastAsia="楷体_GB2312" w:hAnsi="楷体_GB2312" w:cs="楷体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一是研究出台融资租赁行业监管细则，明确经营规则、监管指标、具体要求，引导合规经营。推动出台融资担保、融资租赁、商业保理等机构监管评级办法，并开展试评。</w:t>
      </w:r>
      <w:r>
        <w:rPr>
          <w:rFonts w:ascii="仿宋_GB2312" w:eastAsia="仿宋_GB2312" w:hAnsi="仿宋_GB2312" w:cs="仿宋_GB2312" w:hint="eastAsia"/>
          <w:sz w:val="32"/>
          <w:szCs w:val="32"/>
        </w:rPr>
        <w:t>严格</w:t>
      </w:r>
      <w:r>
        <w:rPr>
          <w:rFonts w:ascii="仿宋_GB2312" w:eastAsia="仿宋_GB2312" w:hAnsi="仿宋_GB2312" w:cs="仿宋_GB2312" w:hint="eastAsia"/>
          <w:sz w:val="32"/>
          <w:szCs w:val="32"/>
        </w:rPr>
        <w:t>落实</w:t>
      </w:r>
      <w:r>
        <w:rPr>
          <w:rFonts w:ascii="仿宋_GB2312" w:eastAsia="仿宋_GB2312" w:hAnsi="仿宋_GB2312" w:cs="仿宋_GB2312" w:hint="eastAsia"/>
          <w:sz w:val="32"/>
          <w:szCs w:val="32"/>
        </w:rPr>
        <w:t>《广东省各类交易场所监督管理办法》，建立对交易场所常态化监管机制。</w:t>
      </w:r>
    </w:p>
    <w:p w:rsidR="00E63A5A" w:rsidRDefault="006B4C26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（二）进一步提升非现场监管效能。</w:t>
      </w:r>
      <w:r>
        <w:rPr>
          <w:rFonts w:ascii="仿宋_GB2312" w:eastAsia="仿宋_GB2312" w:hAnsi="仿宋_GB2312" w:cs="仿宋_GB2312" w:hint="eastAsia"/>
          <w:sz w:val="32"/>
          <w:szCs w:val="32"/>
        </w:rPr>
        <w:t>大力推进非现场监管系统建设和应用，强化科技赋能，在实现六类地方金融组织上线报送数据的基础上，逐步完善分析研判、风险预警、动态评级等智能功能。</w:t>
      </w:r>
    </w:p>
    <w:p w:rsidR="00E63A5A" w:rsidRDefault="006B4C26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（三）进一步规范现场检查行为。</w:t>
      </w:r>
      <w:r>
        <w:rPr>
          <w:rFonts w:ascii="仿宋_GB2312" w:eastAsia="仿宋_GB2312" w:hAnsi="仿宋_GB2312" w:cs="仿宋_GB2312" w:hint="eastAsia"/>
          <w:sz w:val="32"/>
          <w:szCs w:val="32"/>
        </w:rPr>
        <w:t>严格落实“双随机、一公开”要求，推进省直部门之间及省、市部门之间的横向纵向联合检查机制，提升检查的广度、深度。</w:t>
      </w:r>
    </w:p>
    <w:p w:rsidR="00E63A5A" w:rsidRDefault="006B4C26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</w:t>
      </w:r>
      <w:r>
        <w:rPr>
          <w:rFonts w:ascii="楷体_GB2312" w:eastAsia="楷体_GB2312" w:hAnsi="楷体_GB2312" w:cs="楷体_GB2312" w:hint="eastAsia"/>
          <w:sz w:val="32"/>
          <w:szCs w:val="32"/>
        </w:rPr>
        <w:t>进一步提升</w:t>
      </w:r>
      <w:r>
        <w:rPr>
          <w:rFonts w:ascii="楷体_GB2312" w:eastAsia="楷体_GB2312" w:hAnsi="楷体_GB2312" w:cs="楷体_GB2312" w:hint="eastAsia"/>
          <w:sz w:val="32"/>
          <w:szCs w:val="32"/>
        </w:rPr>
        <w:t>政务服务</w:t>
      </w:r>
      <w:r>
        <w:rPr>
          <w:rFonts w:ascii="楷体_GB2312" w:eastAsia="楷体_GB2312" w:hAnsi="楷体_GB2312" w:cs="楷体_GB2312" w:hint="eastAsia"/>
          <w:sz w:val="32"/>
          <w:szCs w:val="32"/>
        </w:rPr>
        <w:t>水平</w:t>
      </w:r>
      <w:r>
        <w:rPr>
          <w:rFonts w:ascii="楷体_GB2312" w:eastAsia="楷体_GB2312" w:hAnsi="楷体_GB2312" w:cs="楷体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</w:t>
      </w:r>
      <w:r>
        <w:rPr>
          <w:rFonts w:ascii="仿宋_GB2312" w:eastAsia="仿宋_GB2312" w:hAnsi="仿宋_GB2312" w:cs="仿宋_GB2312" w:hint="eastAsia"/>
          <w:sz w:val="32"/>
          <w:szCs w:val="32"/>
        </w:rPr>
        <w:t>与</w:t>
      </w:r>
      <w:r>
        <w:rPr>
          <w:rFonts w:ascii="仿宋_GB2312" w:eastAsia="仿宋_GB2312" w:hAnsi="仿宋_GB2312" w:cs="仿宋_GB2312" w:hint="eastAsia"/>
          <w:sz w:val="32"/>
          <w:szCs w:val="32"/>
        </w:rPr>
        <w:t>省</w:t>
      </w:r>
      <w:r>
        <w:rPr>
          <w:rFonts w:ascii="仿宋_GB2312" w:eastAsia="仿宋_GB2312" w:hAnsi="仿宋_GB2312" w:cs="仿宋_GB2312" w:hint="eastAsia"/>
          <w:sz w:val="32"/>
          <w:szCs w:val="32"/>
        </w:rPr>
        <w:t>政务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</w:t>
      </w:r>
      <w:r>
        <w:rPr>
          <w:rFonts w:ascii="仿宋_GB2312" w:eastAsia="仿宋_GB2312" w:hAnsi="仿宋_GB2312" w:cs="仿宋_GB2312" w:hint="eastAsia"/>
          <w:sz w:val="32"/>
          <w:szCs w:val="32"/>
        </w:rPr>
        <w:t>数据</w:t>
      </w:r>
      <w:r>
        <w:rPr>
          <w:rFonts w:ascii="仿宋_GB2312" w:eastAsia="仿宋_GB2312" w:hAnsi="仿宋_GB2312" w:cs="仿宋_GB2312" w:hint="eastAsia"/>
          <w:sz w:val="32"/>
          <w:szCs w:val="32"/>
        </w:rPr>
        <w:t>管理</w:t>
      </w:r>
      <w:r>
        <w:rPr>
          <w:rFonts w:ascii="仿宋_GB2312" w:eastAsia="仿宋_GB2312" w:hAnsi="仿宋_GB2312" w:cs="仿宋_GB2312" w:hint="eastAsia"/>
          <w:sz w:val="32"/>
          <w:szCs w:val="32"/>
        </w:rPr>
        <w:t>局及</w:t>
      </w:r>
      <w:r>
        <w:rPr>
          <w:rFonts w:ascii="仿宋_GB2312" w:eastAsia="仿宋_GB2312" w:hAnsi="仿宋_GB2312" w:cs="仿宋_GB2312" w:hint="eastAsia"/>
          <w:sz w:val="32"/>
          <w:szCs w:val="32"/>
        </w:rPr>
        <w:t>有关平台</w:t>
      </w:r>
      <w:r>
        <w:rPr>
          <w:rFonts w:ascii="仿宋_GB2312" w:eastAsia="仿宋_GB2312" w:hAnsi="仿宋_GB2312" w:cs="仿宋_GB2312" w:hint="eastAsia"/>
          <w:sz w:val="32"/>
          <w:szCs w:val="32"/>
        </w:rPr>
        <w:t>技术团队</w:t>
      </w:r>
      <w:r>
        <w:rPr>
          <w:rFonts w:ascii="仿宋_GB2312" w:eastAsia="仿宋_GB2312" w:hAnsi="仿宋_GB2312" w:cs="仿宋_GB2312" w:hint="eastAsia"/>
          <w:sz w:val="32"/>
          <w:szCs w:val="32"/>
        </w:rPr>
        <w:t>的工作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对接，</w:t>
      </w:r>
      <w:r>
        <w:rPr>
          <w:rFonts w:ascii="仿宋_GB2312" w:eastAsia="仿宋_GB2312" w:hAnsi="仿宋_GB2312" w:cs="仿宋_GB2312" w:hint="eastAsia"/>
          <w:sz w:val="32"/>
          <w:szCs w:val="32"/>
        </w:rPr>
        <w:t>配合省政务服务数据管理局不断改进政务服务系统，提升线上办理流畅度，及时解决办事企业和群众反映的关于政务系统的问题，</w:t>
      </w:r>
      <w:r>
        <w:rPr>
          <w:rFonts w:ascii="仿宋_GB2312" w:eastAsia="仿宋_GB2312" w:hAnsi="仿宋_GB2312" w:cs="仿宋_GB2312" w:hint="eastAsia"/>
          <w:sz w:val="32"/>
          <w:szCs w:val="32"/>
        </w:rPr>
        <w:t>改</w:t>
      </w:r>
      <w:r>
        <w:rPr>
          <w:rFonts w:ascii="仿宋_GB2312" w:eastAsia="仿宋_GB2312" w:hAnsi="仿宋_GB2312" w:cs="仿宋_GB2312" w:hint="eastAsia"/>
          <w:sz w:val="32"/>
          <w:szCs w:val="32"/>
        </w:rPr>
        <w:t>进</w:t>
      </w:r>
      <w:r>
        <w:rPr>
          <w:rFonts w:ascii="仿宋_GB2312" w:eastAsia="仿宋_GB2312" w:hAnsi="仿宋_GB2312" w:cs="仿宋_GB2312" w:hint="eastAsia"/>
          <w:sz w:val="32"/>
          <w:szCs w:val="32"/>
        </w:rPr>
        <w:t>政务服务“好差评”系统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提升线上业务办理效率和体验感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63A5A" w:rsidRDefault="00E63A5A">
      <w:pPr>
        <w:spacing w:line="360" w:lineRule="auto"/>
      </w:pPr>
    </w:p>
    <w:sectPr w:rsidR="00E63A5A" w:rsidSect="00E63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C26" w:rsidRPr="00C12B61" w:rsidRDefault="006B4C26" w:rsidP="008865F5">
      <w:pPr>
        <w:rPr>
          <w:rFonts w:eastAsia="华文楷体"/>
          <w:kern w:val="0"/>
          <w:sz w:val="20"/>
          <w:szCs w:val="20"/>
        </w:rPr>
      </w:pPr>
      <w:r>
        <w:separator/>
      </w:r>
    </w:p>
  </w:endnote>
  <w:endnote w:type="continuationSeparator" w:id="0">
    <w:p w:rsidR="006B4C26" w:rsidRPr="00C12B61" w:rsidRDefault="006B4C26" w:rsidP="008865F5">
      <w:pPr>
        <w:rPr>
          <w:rFonts w:eastAsia="华文楷体"/>
          <w:kern w:val="0"/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楷体">
    <w:altName w:val="hakuyoxingshu7000"/>
    <w:charset w:val="86"/>
    <w:family w:val="auto"/>
    <w:pitch w:val="default"/>
    <w:sig w:usb0="00000000" w:usb1="080F0000" w:usb2="00000010" w:usb3="00000000" w:csb0="0004009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C26" w:rsidRPr="00C12B61" w:rsidRDefault="006B4C26" w:rsidP="008865F5">
      <w:pPr>
        <w:rPr>
          <w:rFonts w:eastAsia="华文楷体"/>
          <w:kern w:val="0"/>
          <w:sz w:val="20"/>
          <w:szCs w:val="20"/>
        </w:rPr>
      </w:pPr>
      <w:r>
        <w:separator/>
      </w:r>
    </w:p>
  </w:footnote>
  <w:footnote w:type="continuationSeparator" w:id="0">
    <w:p w:rsidR="006B4C26" w:rsidRPr="00C12B61" w:rsidRDefault="006B4C26" w:rsidP="008865F5">
      <w:pPr>
        <w:rPr>
          <w:rFonts w:eastAsia="华文楷体"/>
          <w:kern w:val="0"/>
          <w:sz w:val="20"/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trackRevision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D3F7DE7"/>
    <w:rsid w:val="0009575F"/>
    <w:rsid w:val="006B4C26"/>
    <w:rsid w:val="008865F5"/>
    <w:rsid w:val="00E63A5A"/>
    <w:rsid w:val="0175471B"/>
    <w:rsid w:val="01FD6A0A"/>
    <w:rsid w:val="023376DD"/>
    <w:rsid w:val="030A72E3"/>
    <w:rsid w:val="07556B07"/>
    <w:rsid w:val="07D904F2"/>
    <w:rsid w:val="0D3F7DE7"/>
    <w:rsid w:val="0E3953BA"/>
    <w:rsid w:val="16E67513"/>
    <w:rsid w:val="19F76785"/>
    <w:rsid w:val="1BBA198E"/>
    <w:rsid w:val="1C206196"/>
    <w:rsid w:val="1F451E30"/>
    <w:rsid w:val="251976C6"/>
    <w:rsid w:val="2A8D49D5"/>
    <w:rsid w:val="2B79724D"/>
    <w:rsid w:val="2BCE1DBF"/>
    <w:rsid w:val="2BFE521A"/>
    <w:rsid w:val="2F39473B"/>
    <w:rsid w:val="30CC559C"/>
    <w:rsid w:val="3148053D"/>
    <w:rsid w:val="31793087"/>
    <w:rsid w:val="344C76A1"/>
    <w:rsid w:val="34BB2586"/>
    <w:rsid w:val="36544D98"/>
    <w:rsid w:val="36E562D0"/>
    <w:rsid w:val="376C7E05"/>
    <w:rsid w:val="396E43D6"/>
    <w:rsid w:val="39BF7638"/>
    <w:rsid w:val="3A1129A3"/>
    <w:rsid w:val="3A2A1795"/>
    <w:rsid w:val="3B2B0F4F"/>
    <w:rsid w:val="3EE25B7B"/>
    <w:rsid w:val="42A73C7C"/>
    <w:rsid w:val="42D830A9"/>
    <w:rsid w:val="47157F15"/>
    <w:rsid w:val="47FA661A"/>
    <w:rsid w:val="4D2C4FD9"/>
    <w:rsid w:val="4F432497"/>
    <w:rsid w:val="51FF3360"/>
    <w:rsid w:val="548B4D84"/>
    <w:rsid w:val="56140C22"/>
    <w:rsid w:val="57E5652D"/>
    <w:rsid w:val="59184E57"/>
    <w:rsid w:val="59855D57"/>
    <w:rsid w:val="631F730A"/>
    <w:rsid w:val="63566E3C"/>
    <w:rsid w:val="667F0CC6"/>
    <w:rsid w:val="670D547B"/>
    <w:rsid w:val="68AB4C43"/>
    <w:rsid w:val="6AA82793"/>
    <w:rsid w:val="6DA931AD"/>
    <w:rsid w:val="74C54F38"/>
    <w:rsid w:val="7C7522C9"/>
    <w:rsid w:val="7F262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E63A5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E63A5A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E63A5A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E63A5A"/>
    <w:pPr>
      <w:jc w:val="left"/>
    </w:pPr>
  </w:style>
  <w:style w:type="paragraph" w:styleId="20">
    <w:name w:val="toc 2"/>
    <w:basedOn w:val="a"/>
    <w:next w:val="a"/>
    <w:qFormat/>
    <w:rsid w:val="00E63A5A"/>
    <w:pPr>
      <w:widowControl/>
      <w:spacing w:before="100" w:beforeAutospacing="1" w:after="100" w:afterAutospacing="1"/>
      <w:ind w:leftChars="200" w:left="420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886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865F5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886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865F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</dc:creator>
  <cp:lastModifiedBy>Administrator</cp:lastModifiedBy>
  <cp:revision>2</cp:revision>
  <cp:lastPrinted>2021-06-21T02:48:00Z</cp:lastPrinted>
  <dcterms:created xsi:type="dcterms:W3CDTF">2021-06-23T06:23:00Z</dcterms:created>
  <dcterms:modified xsi:type="dcterms:W3CDTF">2021-06-23T06:23:00Z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showSavePromptFlag">
    <vt:lpwstr>true</vt:lpwstr>
  </property>
  <property fmtid="{D5CDD505-2E9C-101B-9397-08002B2CF9AE}" pid="4" name="ribbonExt">
    <vt:lpwstr>{"WPSExtOfficeTab":{"OnGetEnabled":false,"OnGetVisible":false}}</vt:lpwstr>
  </property>
</Properties>
</file>