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ascii="方正小标宋简体" w:hAnsi="方正小标宋简体" w:eastAsia="方正小标宋简体" w:cs="方正小标宋简体"/>
          <w:sz w:val="36"/>
          <w:szCs w:val="36"/>
        </w:rPr>
      </w:pPr>
    </w:p>
    <w:p>
      <w:pPr>
        <w:spacing w:line="520" w:lineRule="exact"/>
        <w:jc w:val="left"/>
        <w:rPr>
          <w:rFonts w:ascii="黑体" w:hAnsi="黑体" w:eastAsia="黑体" w:cs="方正小标宋简体"/>
          <w:sz w:val="32"/>
          <w:szCs w:val="32"/>
        </w:rPr>
      </w:pPr>
      <w:r>
        <w:rPr>
          <w:rFonts w:hint="eastAsia" w:ascii="黑体" w:hAnsi="黑体" w:eastAsia="黑体" w:cs="方正小标宋简体"/>
          <w:sz w:val="32"/>
          <w:szCs w:val="32"/>
        </w:rPr>
        <w:t>附件</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2022年广东省促进经济高质量发展专项资金（金融发展）拟支持项目情况</w:t>
      </w:r>
    </w:p>
    <w:p>
      <w:pPr>
        <w:spacing w:line="520" w:lineRule="exact"/>
        <w:jc w:val="right"/>
        <w:rPr>
          <w:rFonts w:ascii="方正小标宋简体" w:hAnsi="方正小标宋简体" w:eastAsia="方正小标宋简体" w:cs="方正小标宋简体"/>
          <w:sz w:val="36"/>
          <w:szCs w:val="36"/>
        </w:rPr>
      </w:pPr>
      <w:r>
        <w:rPr>
          <w:rFonts w:hint="eastAsia" w:ascii="楷体_GB2312" w:hAnsi="方正小标宋简体" w:eastAsia="楷体_GB2312" w:cs="方正小标宋简体"/>
          <w:sz w:val="30"/>
          <w:szCs w:val="30"/>
        </w:rPr>
        <w:t>单位：万元</w:t>
      </w:r>
    </w:p>
    <w:tbl>
      <w:tblPr>
        <w:tblStyle w:val="7"/>
        <w:tblW w:w="138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6"/>
        <w:gridCol w:w="1333"/>
        <w:gridCol w:w="1573"/>
        <w:gridCol w:w="6765"/>
        <w:gridCol w:w="686"/>
        <w:gridCol w:w="689"/>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blHeader/>
          <w:jc w:val="center"/>
        </w:trPr>
        <w:tc>
          <w:tcPr>
            <w:tcW w:w="509" w:type="dxa"/>
            <w:vAlign w:val="center"/>
          </w:tcPr>
          <w:p>
            <w:pPr>
              <w:spacing w:line="280" w:lineRule="exact"/>
              <w:jc w:val="center"/>
              <w:rPr>
                <w:rFonts w:ascii="方正小标宋简体" w:hAnsi="方正小标宋简体" w:eastAsia="方正小标宋简体" w:cs="方正小标宋简体"/>
                <w:sz w:val="44"/>
                <w:szCs w:val="44"/>
              </w:rPr>
            </w:pPr>
            <w:r>
              <w:rPr>
                <w:rFonts w:hint="eastAsia" w:ascii="黑体" w:hAnsi="黑体" w:eastAsia="黑体" w:cs="黑体"/>
                <w:sz w:val="24"/>
              </w:rPr>
              <w:t>序号</w:t>
            </w:r>
          </w:p>
        </w:tc>
        <w:tc>
          <w:tcPr>
            <w:tcW w:w="1536" w:type="dxa"/>
            <w:vAlign w:val="center"/>
          </w:tcPr>
          <w:p>
            <w:pPr>
              <w:spacing w:line="280" w:lineRule="exact"/>
              <w:jc w:val="center"/>
              <w:rPr>
                <w:rFonts w:ascii="方正小标宋简体" w:hAnsi="方正小标宋简体" w:eastAsia="方正小标宋简体" w:cs="方正小标宋简体"/>
                <w:sz w:val="44"/>
                <w:szCs w:val="44"/>
              </w:rPr>
            </w:pPr>
            <w:r>
              <w:rPr>
                <w:rFonts w:hint="eastAsia" w:ascii="黑体" w:hAnsi="黑体" w:eastAsia="黑体" w:cs="黑体"/>
                <w:sz w:val="24"/>
              </w:rPr>
              <w:t>项目名称</w:t>
            </w:r>
          </w:p>
        </w:tc>
        <w:tc>
          <w:tcPr>
            <w:tcW w:w="1333" w:type="dxa"/>
            <w:vAlign w:val="center"/>
          </w:tcPr>
          <w:p>
            <w:pPr>
              <w:spacing w:line="280" w:lineRule="exact"/>
              <w:jc w:val="center"/>
              <w:rPr>
                <w:rFonts w:ascii="方正小标宋简体" w:hAnsi="方正小标宋简体" w:eastAsia="方正小标宋简体" w:cs="方正小标宋简体"/>
                <w:sz w:val="44"/>
                <w:szCs w:val="44"/>
              </w:rPr>
            </w:pPr>
            <w:r>
              <w:rPr>
                <w:rFonts w:hint="eastAsia" w:ascii="黑体" w:hAnsi="黑体" w:eastAsia="黑体" w:cs="黑体"/>
                <w:sz w:val="24"/>
              </w:rPr>
              <w:t>申报单位</w:t>
            </w:r>
          </w:p>
        </w:tc>
        <w:tc>
          <w:tcPr>
            <w:tcW w:w="1573" w:type="dxa"/>
            <w:vAlign w:val="center"/>
          </w:tcPr>
          <w:p>
            <w:pPr>
              <w:spacing w:line="280" w:lineRule="exact"/>
              <w:jc w:val="center"/>
              <w:rPr>
                <w:rFonts w:ascii="黑体" w:hAnsi="黑体" w:eastAsia="黑体" w:cs="黑体"/>
                <w:sz w:val="24"/>
              </w:rPr>
            </w:pPr>
            <w:r>
              <w:rPr>
                <w:rFonts w:hint="eastAsia" w:ascii="黑体" w:hAnsi="黑体" w:eastAsia="黑体" w:cs="黑体"/>
                <w:sz w:val="24"/>
              </w:rPr>
              <w:t>实施单位</w:t>
            </w:r>
          </w:p>
        </w:tc>
        <w:tc>
          <w:tcPr>
            <w:tcW w:w="6765" w:type="dxa"/>
            <w:vAlign w:val="center"/>
          </w:tcPr>
          <w:p>
            <w:pPr>
              <w:spacing w:line="280" w:lineRule="exact"/>
              <w:jc w:val="center"/>
              <w:rPr>
                <w:rFonts w:ascii="方正小标宋简体" w:hAnsi="方正小标宋简体" w:eastAsia="方正小标宋简体" w:cs="方正小标宋简体"/>
                <w:sz w:val="44"/>
                <w:szCs w:val="44"/>
              </w:rPr>
            </w:pPr>
            <w:r>
              <w:rPr>
                <w:rFonts w:hint="eastAsia" w:ascii="黑体" w:hAnsi="黑体" w:eastAsia="黑体" w:cs="黑体"/>
                <w:sz w:val="24"/>
              </w:rPr>
              <w:t>项目简介</w:t>
            </w:r>
          </w:p>
        </w:tc>
        <w:tc>
          <w:tcPr>
            <w:tcW w:w="686" w:type="dxa"/>
            <w:vAlign w:val="center"/>
          </w:tcPr>
          <w:p>
            <w:pPr>
              <w:spacing w:line="280" w:lineRule="exact"/>
              <w:jc w:val="center"/>
              <w:rPr>
                <w:rFonts w:ascii="黑体" w:hAnsi="黑体" w:eastAsia="黑体" w:cs="黑体"/>
                <w:sz w:val="18"/>
                <w:szCs w:val="18"/>
              </w:rPr>
            </w:pPr>
            <w:r>
              <w:rPr>
                <w:rFonts w:hint="eastAsia" w:ascii="黑体" w:hAnsi="黑体" w:eastAsia="黑体" w:cs="黑体"/>
                <w:sz w:val="18"/>
                <w:szCs w:val="18"/>
              </w:rPr>
              <w:t>申报</w:t>
            </w:r>
          </w:p>
          <w:p>
            <w:pPr>
              <w:spacing w:line="280" w:lineRule="exact"/>
              <w:jc w:val="center"/>
              <w:rPr>
                <w:rFonts w:ascii="方正小标宋简体" w:hAnsi="方正小标宋简体" w:eastAsia="方正小标宋简体" w:cs="方正小标宋简体"/>
                <w:sz w:val="18"/>
                <w:szCs w:val="18"/>
              </w:rPr>
            </w:pPr>
            <w:r>
              <w:rPr>
                <w:rFonts w:hint="eastAsia" w:ascii="黑体" w:hAnsi="黑体" w:eastAsia="黑体" w:cs="黑体"/>
                <w:sz w:val="18"/>
                <w:szCs w:val="18"/>
              </w:rPr>
              <w:t>金额</w:t>
            </w:r>
          </w:p>
        </w:tc>
        <w:tc>
          <w:tcPr>
            <w:tcW w:w="689" w:type="dxa"/>
            <w:vAlign w:val="center"/>
          </w:tcPr>
          <w:p>
            <w:pPr>
              <w:spacing w:line="280" w:lineRule="exact"/>
              <w:jc w:val="center"/>
              <w:rPr>
                <w:rFonts w:ascii="黑体" w:hAnsi="黑体" w:eastAsia="黑体" w:cs="黑体"/>
                <w:sz w:val="18"/>
                <w:szCs w:val="18"/>
              </w:rPr>
            </w:pPr>
            <w:r>
              <w:rPr>
                <w:rFonts w:hint="eastAsia" w:ascii="黑体" w:hAnsi="黑体" w:eastAsia="黑体" w:cs="黑体"/>
                <w:sz w:val="18"/>
                <w:szCs w:val="18"/>
              </w:rPr>
              <w:t>分配金额</w:t>
            </w:r>
          </w:p>
        </w:tc>
        <w:tc>
          <w:tcPr>
            <w:tcW w:w="803" w:type="dxa"/>
            <w:vAlign w:val="center"/>
          </w:tcPr>
          <w:p>
            <w:pPr>
              <w:spacing w:line="280" w:lineRule="exact"/>
              <w:jc w:val="center"/>
              <w:rPr>
                <w:rFonts w:ascii="黑体" w:hAnsi="黑体" w:eastAsia="黑体" w:cs="黑体"/>
                <w:sz w:val="18"/>
                <w:szCs w:val="18"/>
              </w:rPr>
            </w:pPr>
            <w:r>
              <w:rPr>
                <w:rFonts w:hint="eastAsia" w:ascii="黑体" w:hAnsi="黑体" w:eastAsia="黑体" w:cs="黑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4"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黑体" w:eastAsia="仿宋_GB2312" w:cs="黑体"/>
                <w:szCs w:val="21"/>
              </w:rPr>
              <w:t>1</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粤港澳大湾区科技创新金融支持平台</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广东股权交易中心股份有限公司</w:t>
            </w:r>
          </w:p>
        </w:tc>
        <w:tc>
          <w:tcPr>
            <w:tcW w:w="157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广东股权交易中心股份有限公司</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项目主要为了实现粤港澳大湾区发展质量变革、效率变革、动力变革必须充分强化科技创新与多层次资本市场的深度融合。依托我省区域性股权市场建设“粤港澳大湾区科技创新金融支持平台”，是实现资本市场服务大湾区创新驱动发展战略的重要抓手，有利于完善粤港澳大湾区多层次资本市场结构，补齐当前资本市场发展短板。</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1000</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ascii="仿宋_GB2312" w:hAnsi="宋体" w:eastAsia="仿宋_GB2312" w:cs="仿宋_GB2312"/>
                <w:color w:val="000000"/>
                <w:kern w:val="0"/>
                <w:szCs w:val="21"/>
                <w:lang w:bidi="ar"/>
              </w:rPr>
              <w:t>900</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1"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黑体" w:eastAsia="仿宋_GB2312" w:cs="黑体"/>
                <w:szCs w:val="21"/>
              </w:rPr>
              <w:t>2</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广州科创金融服务基地建设项目</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广州开发区金融局</w:t>
            </w:r>
          </w:p>
        </w:tc>
        <w:tc>
          <w:tcPr>
            <w:tcW w:w="1573" w:type="dxa"/>
            <w:vAlign w:val="center"/>
          </w:tcPr>
          <w:p>
            <w:pPr>
              <w:spacing w:line="320" w:lineRule="exact"/>
              <w:jc w:val="center"/>
              <w:rPr>
                <w:rFonts w:ascii="仿宋_GB2312" w:hAnsi="宋体" w:eastAsia="仿宋_GB2312" w:cs="仿宋_GB2312"/>
                <w:color w:val="000000"/>
                <w:kern w:val="0"/>
                <w:szCs w:val="21"/>
                <w:lang w:bidi="ar"/>
              </w:rPr>
            </w:pPr>
            <w:bookmarkStart w:id="0" w:name="_GoBack"/>
            <w:bookmarkEnd w:id="0"/>
            <w:r>
              <w:rPr>
                <w:rFonts w:hint="eastAsia" w:ascii="仿宋_GB2312" w:hAnsi="宋体" w:eastAsia="仿宋_GB2312" w:cs="仿宋_GB2312"/>
                <w:color w:val="000000"/>
                <w:kern w:val="0"/>
                <w:szCs w:val="21"/>
                <w:lang w:bidi="ar"/>
              </w:rPr>
              <w:t>广州凯得金融服务集团有限公司</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广州科创金融服务基地将建成一个建筑面积约1400</w:t>
            </w:r>
            <w:r>
              <w:rPr>
                <w:rFonts w:hint="eastAsia" w:ascii="Segoe UI Symbol" w:hAnsi="Segoe UI Symbol" w:eastAsia="Segoe UI Symbol" w:cs="Segoe UI Symbol"/>
                <w:color w:val="000000"/>
                <w:kern w:val="0"/>
                <w:szCs w:val="21"/>
                <w:lang w:bidi="ar"/>
              </w:rPr>
              <w:t>㎡</w:t>
            </w:r>
            <w:r>
              <w:rPr>
                <w:rFonts w:hint="eastAsia" w:ascii="仿宋_GB2312" w:hAnsi="宋体" w:eastAsia="仿宋_GB2312" w:cs="仿宋_GB2312"/>
                <w:color w:val="000000"/>
                <w:kern w:val="0"/>
                <w:szCs w:val="21"/>
                <w:lang w:bidi="ar"/>
              </w:rPr>
              <w:t>的综合路演大厅物理空间，在2022年开展约20场的常态化科创金融路演活动以及配套的专业资本课程、投融资培训等活动，服务基地服务企业覆盖面达到500家，发挥市场在金融资源配置中的决定性作用，把发展直接融资放在重要位置，同时积极改善间接融资结构，为科创企业提供股权投资、科创信贷、产融合作、路演宣传、上市辅导、融资咨询，以及业绩说明、信息发布、重大事件实时报道等一站式、专业化、定制化科创金融服务，成为融合科技金融路演、新三板路演、投后精品项目路演、上市苗圃企业路演、IPO网上路演、上市公司路演等企业资本发展全周期的“线上+线下”科创路演服务平台。</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900</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ascii="仿宋_GB2312" w:hAnsi="宋体" w:eastAsia="仿宋_GB2312" w:cs="仿宋_GB2312"/>
                <w:color w:val="000000"/>
                <w:kern w:val="0"/>
                <w:szCs w:val="21"/>
                <w:lang w:bidi="ar"/>
              </w:rPr>
              <w:t>700</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黑体" w:eastAsia="仿宋_GB2312" w:cs="黑体"/>
                <w:szCs w:val="21"/>
              </w:rPr>
              <w:t>3</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基于大湾区特色场景的数字人民币支付结算与司法存证系统构建</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广州市地方金融监管局</w:t>
            </w:r>
          </w:p>
        </w:tc>
        <w:tc>
          <w:tcPr>
            <w:tcW w:w="157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广州市数字金融协会、广州中国科学院软件应用技术研究所</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项目根据国家对数字人民币的试点推广政策要求，基于大湾区特色场景构建数字人民币支付结算及司法存证系统模型，为广州数字人民币试点示范及推广实施打好基础。</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930</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ascii="仿宋_GB2312" w:hAnsi="宋体" w:eastAsia="仿宋_GB2312" w:cs="仿宋_GB2312"/>
                <w:color w:val="000000"/>
                <w:kern w:val="0"/>
                <w:szCs w:val="21"/>
                <w:lang w:bidi="ar"/>
              </w:rPr>
              <w:t>500</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4</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国家知识产权运营公共服务平台金融创新试点平台建设升级</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横琴国际知识产权交易中心有限公司</w:t>
            </w:r>
          </w:p>
        </w:tc>
        <w:tc>
          <w:tcPr>
            <w:tcW w:w="157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横琴国际知识产权交易中心有限公司</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本项目拟完成国家知识产权运营公共服务平台金融创新试点平台建设升级工作，为区域知识产权发展及企业发展贡献力量。着力打造一个集聚创新人才、创新领域、创新资源、创新投资等各种创新要素在内的金融生态系统，提供以知识产权金融创新、科技成果转移转化、知识产权跨境交易为特色的全方位、一站式、高品质的知识产权交易和运营的服务体系。</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200</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2</w:t>
            </w:r>
            <w:r>
              <w:rPr>
                <w:rFonts w:ascii="仿宋_GB2312" w:hAnsi="宋体" w:eastAsia="仿宋_GB2312" w:cs="仿宋_GB2312"/>
                <w:color w:val="000000"/>
                <w:kern w:val="0"/>
                <w:szCs w:val="21"/>
                <w:lang w:bidi="ar"/>
              </w:rPr>
              <w:t>00</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7"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黑体" w:eastAsia="仿宋_GB2312" w:cs="黑体"/>
                <w:szCs w:val="21"/>
              </w:rPr>
              <w:t>5</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普惠金融融资再担保保费补助项目</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粤财普惠金融（广东）融资再担保有限公司</w:t>
            </w:r>
          </w:p>
        </w:tc>
        <w:tc>
          <w:tcPr>
            <w:tcW w:w="157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粤财普惠金融（广东）融资再担保有限公司</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本项目通过对粤财普惠再担保纳入国家融资担保基金支持范围的融资担保贷款项目对应的再担保费（粤财普惠再担保免收的再担保费部分）及合作融资担保机构向粤财普惠再担保缴纳的再担保费进行一定的补助，支持粤财普惠再担保加大与国家融资担保基金的合作力度，并减轻合作融资担保机构负担，提高机构合作积极性，引导合作融资担保机构进一步聚焦小微企业和“三农”融资担保业务。</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1600</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ascii="仿宋_GB2312" w:hAnsi="宋体" w:eastAsia="仿宋_GB2312" w:cs="仿宋_GB2312"/>
                <w:color w:val="000000"/>
                <w:kern w:val="0"/>
                <w:szCs w:val="21"/>
                <w:lang w:bidi="ar"/>
              </w:rPr>
              <w:t>13</w:t>
            </w:r>
            <w:r>
              <w:rPr>
                <w:rFonts w:hint="eastAsia" w:ascii="仿宋_GB2312" w:hAnsi="宋体" w:eastAsia="仿宋_GB2312" w:cs="仿宋_GB2312"/>
                <w:color w:val="000000"/>
                <w:kern w:val="0"/>
                <w:szCs w:val="21"/>
                <w:lang w:bidi="ar"/>
              </w:rPr>
              <w:t>61.468021</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7"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ascii="仿宋_GB2312" w:hAnsi="黑体" w:eastAsia="仿宋_GB2312" w:cs="黑体"/>
                <w:szCs w:val="21"/>
              </w:rPr>
              <w:t>6</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广东省中小企业融资平台</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省地方金融监管局</w:t>
            </w:r>
          </w:p>
        </w:tc>
        <w:tc>
          <w:tcPr>
            <w:tcW w:w="157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省地方金融监管局</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广东省充分运用云计算、区块链等先进的金融科技手段，推动建立“广东省中小企业融资平台”，打造“数字政府+金融科技”的广东模式，着力解决中小企业融资难、融资慢、融资贵问题，实现“四个创新”，以数字金融赋能中小企业高质量发展。</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ascii="仿宋_GB2312" w:hAnsi="宋体" w:eastAsia="仿宋_GB2312" w:cs="仿宋_GB2312"/>
                <w:color w:val="000000"/>
                <w:kern w:val="0"/>
                <w:szCs w:val="21"/>
                <w:lang w:bidi="ar"/>
              </w:rPr>
              <w:t>219</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2</w:t>
            </w:r>
            <w:r>
              <w:rPr>
                <w:rFonts w:ascii="仿宋_GB2312" w:hAnsi="宋体" w:eastAsia="仿宋_GB2312" w:cs="仿宋_GB2312"/>
                <w:color w:val="000000"/>
                <w:kern w:val="0"/>
                <w:szCs w:val="21"/>
                <w:lang w:bidi="ar"/>
              </w:rPr>
              <w:t>19</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7"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ascii="仿宋_GB2312" w:hAnsi="黑体" w:eastAsia="仿宋_GB2312" w:cs="黑体"/>
                <w:szCs w:val="21"/>
              </w:rPr>
              <w:t>7</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省地方金融监管局信息系统安全基础设施和运营服务（2021年）</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省地方金融监管局</w:t>
            </w:r>
          </w:p>
        </w:tc>
        <w:tc>
          <w:tcPr>
            <w:tcW w:w="157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省地方金融监管局</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项目主要对广东省中小企业融资平台提供政务云租户增强安全服务；对广东省中小企业融资平台提供及政务云安全人工专家服务；对广东省中小企业融资平台提供安全审计制度建设服务；提供数据安全审计服务；提供数据全生命周期安全流量处理和存储服务；根据审计工作要求提供数据安全日志溯源服务。</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1</w:t>
            </w:r>
            <w:r>
              <w:rPr>
                <w:rFonts w:ascii="仿宋_GB2312" w:hAnsi="宋体" w:eastAsia="仿宋_GB2312" w:cs="仿宋_GB2312"/>
                <w:color w:val="000000"/>
                <w:kern w:val="0"/>
                <w:szCs w:val="21"/>
                <w:lang w:bidi="ar"/>
              </w:rPr>
              <w:t>21.48</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119.531979</w:t>
            </w:r>
          </w:p>
        </w:tc>
        <w:tc>
          <w:tcPr>
            <w:tcW w:w="80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按实际采购合同金额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ascii="仿宋_GB2312" w:hAnsi="黑体" w:eastAsia="仿宋_GB2312" w:cs="黑体"/>
                <w:szCs w:val="21"/>
              </w:rPr>
              <w:t>8</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省地方金融监管局地方金融组织非现场监管系统开发（二期）项目</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省地方金融监管局</w:t>
            </w:r>
          </w:p>
        </w:tc>
        <w:tc>
          <w:tcPr>
            <w:tcW w:w="157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省地方金融监管局</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本项目主要在广东省中小企业融资平台智能监管子系统（非现监管系统一期）建设功能基础上，通过对现有政府监管端和机构报数端功能进行拓展升级，建设覆盖小额贷款公司、融资担保公司、融资租赁公司、商业保理公司、地方资产管理公司、典当企业、区域性股权交易市场等七类地方金融组织完整监管体系，形成机构报数便捷高效，政府监管数据齐全、监管功能完善、行之有效地地方金融组织非现场监管系统。</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118</w:t>
            </w:r>
            <w:r>
              <w:rPr>
                <w:rFonts w:ascii="仿宋_GB2312" w:hAnsi="宋体" w:eastAsia="仿宋_GB2312" w:cs="仿宋_GB2312"/>
                <w:color w:val="000000"/>
                <w:kern w:val="0"/>
                <w:szCs w:val="21"/>
                <w:lang w:bidi="ar"/>
              </w:rPr>
              <w:t>3</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ascii="仿宋_GB2312" w:hAnsi="宋体" w:eastAsia="仿宋_GB2312" w:cs="仿宋_GB2312"/>
                <w:color w:val="000000"/>
                <w:kern w:val="0"/>
                <w:szCs w:val="21"/>
                <w:lang w:bidi="ar"/>
              </w:rPr>
              <w:t>297</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0" w:hRule="atLeast"/>
          <w:jc w:val="center"/>
        </w:trPr>
        <w:tc>
          <w:tcPr>
            <w:tcW w:w="509" w:type="dxa"/>
            <w:vAlign w:val="center"/>
          </w:tcPr>
          <w:p>
            <w:pPr>
              <w:spacing w:line="320" w:lineRule="exact"/>
              <w:jc w:val="center"/>
              <w:rPr>
                <w:rFonts w:ascii="方正小标宋简体" w:hAnsi="方正小标宋简体" w:eastAsia="方正小标宋简体" w:cs="方正小标宋简体"/>
                <w:sz w:val="44"/>
                <w:szCs w:val="44"/>
              </w:rPr>
            </w:pPr>
            <w:r>
              <w:rPr>
                <w:rFonts w:ascii="仿宋_GB2312" w:hAnsi="宋体" w:eastAsia="仿宋_GB2312" w:cs="仿宋_GB2312"/>
                <w:color w:val="000000"/>
                <w:kern w:val="0"/>
                <w:szCs w:val="21"/>
                <w:lang w:bidi="ar"/>
              </w:rPr>
              <w:t>9</w:t>
            </w:r>
          </w:p>
        </w:tc>
        <w:tc>
          <w:tcPr>
            <w:tcW w:w="1536"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广东省地方金融风险防控平台运维和业务运营服务（2022年）项目</w:t>
            </w:r>
          </w:p>
        </w:tc>
        <w:tc>
          <w:tcPr>
            <w:tcW w:w="1333"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省地方金融监管局</w:t>
            </w:r>
          </w:p>
        </w:tc>
        <w:tc>
          <w:tcPr>
            <w:tcW w:w="1573"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省地方金融监管局</w:t>
            </w:r>
          </w:p>
        </w:tc>
        <w:tc>
          <w:tcPr>
            <w:tcW w:w="6765"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项目主要内容为开展地方金融风险监测防控工作，动态监测、及时预警省内非法集资及非法金融活动；风险分析服务；专项排查；辅助开展风险处置工作；辅助开展宣传培训。</w:t>
            </w:r>
          </w:p>
        </w:tc>
        <w:tc>
          <w:tcPr>
            <w:tcW w:w="686" w:type="dxa"/>
            <w:vAlign w:val="center"/>
          </w:tcPr>
          <w:p>
            <w:pPr>
              <w:spacing w:line="320" w:lineRule="exact"/>
              <w:jc w:val="center"/>
              <w:rPr>
                <w:rFonts w:ascii="方正小标宋简体" w:hAnsi="方正小标宋简体" w:eastAsia="方正小标宋简体" w:cs="方正小标宋简体"/>
                <w:sz w:val="44"/>
                <w:szCs w:val="44"/>
              </w:rPr>
            </w:pPr>
            <w:r>
              <w:rPr>
                <w:rFonts w:ascii="仿宋_GB2312" w:hAnsi="宋体" w:eastAsia="仿宋_GB2312" w:cs="仿宋_GB2312"/>
                <w:color w:val="000000"/>
                <w:kern w:val="0"/>
                <w:szCs w:val="21"/>
                <w:lang w:bidi="ar"/>
              </w:rPr>
              <w:t>52</w:t>
            </w:r>
            <w:r>
              <w:rPr>
                <w:rFonts w:hint="eastAsia" w:ascii="仿宋_GB2312" w:hAnsi="宋体" w:eastAsia="仿宋_GB2312" w:cs="仿宋_GB2312"/>
                <w:color w:val="000000"/>
                <w:kern w:val="0"/>
                <w:szCs w:val="21"/>
                <w:lang w:bidi="ar"/>
              </w:rPr>
              <w:t>0</w:t>
            </w:r>
          </w:p>
        </w:tc>
        <w:tc>
          <w:tcPr>
            <w:tcW w:w="689" w:type="dxa"/>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2</w:t>
            </w:r>
            <w:r>
              <w:rPr>
                <w:rFonts w:ascii="仿宋_GB2312" w:hAnsi="宋体" w:eastAsia="仿宋_GB2312" w:cs="仿宋_GB2312"/>
                <w:color w:val="000000"/>
                <w:kern w:val="0"/>
                <w:szCs w:val="21"/>
                <w:lang w:bidi="ar"/>
              </w:rPr>
              <w:t>93</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1716" w:type="dxa"/>
            <w:gridSpan w:val="5"/>
            <w:vAlign w:val="center"/>
          </w:tcPr>
          <w:p>
            <w:pPr>
              <w:spacing w:line="320" w:lineRule="exact"/>
              <w:jc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合计</w:t>
            </w:r>
          </w:p>
        </w:tc>
        <w:tc>
          <w:tcPr>
            <w:tcW w:w="686" w:type="dxa"/>
            <w:vAlign w:val="center"/>
          </w:tcPr>
          <w:p>
            <w:pPr>
              <w:spacing w:line="320" w:lineRule="exact"/>
              <w:jc w:val="center"/>
              <w:rPr>
                <w:rFonts w:ascii="仿宋_GB2312" w:hAnsi="宋体" w:eastAsia="仿宋_GB2312" w:cs="仿宋_GB2312"/>
                <w:color w:val="000000"/>
                <w:kern w:val="0"/>
                <w:szCs w:val="21"/>
                <w:lang w:bidi="ar"/>
              </w:rPr>
            </w:pPr>
            <w:r>
              <w:rPr>
                <w:rFonts w:ascii="仿宋_GB2312" w:hAnsi="宋体" w:eastAsia="仿宋_GB2312" w:cs="仿宋_GB2312"/>
                <w:color w:val="000000"/>
                <w:kern w:val="0"/>
                <w:szCs w:val="21"/>
                <w:lang w:bidi="ar"/>
              </w:rPr>
              <w:t>6908</w:t>
            </w:r>
          </w:p>
        </w:tc>
        <w:tc>
          <w:tcPr>
            <w:tcW w:w="689" w:type="dxa"/>
            <w:vAlign w:val="center"/>
          </w:tcPr>
          <w:p>
            <w:pPr>
              <w:spacing w:line="320" w:lineRule="exact"/>
              <w:jc w:val="center"/>
              <w:rPr>
                <w:rFonts w:ascii="方正小标宋简体" w:hAnsi="方正小标宋简体" w:eastAsia="方正小标宋简体" w:cs="方正小标宋简体"/>
                <w:sz w:val="44"/>
                <w:szCs w:val="44"/>
              </w:rPr>
            </w:pPr>
            <w:r>
              <w:rPr>
                <w:rFonts w:hint="eastAsia" w:ascii="仿宋_GB2312" w:hAnsi="宋体" w:eastAsia="仿宋_GB2312" w:cs="仿宋_GB2312"/>
                <w:color w:val="000000"/>
                <w:kern w:val="0"/>
                <w:szCs w:val="21"/>
                <w:lang w:bidi="ar"/>
              </w:rPr>
              <w:t>4</w:t>
            </w:r>
            <w:r>
              <w:rPr>
                <w:rFonts w:ascii="仿宋_GB2312" w:hAnsi="宋体" w:eastAsia="仿宋_GB2312" w:cs="仿宋_GB2312"/>
                <w:color w:val="000000"/>
                <w:kern w:val="0"/>
                <w:szCs w:val="21"/>
                <w:lang w:bidi="ar"/>
              </w:rPr>
              <w:t>590</w:t>
            </w:r>
          </w:p>
        </w:tc>
        <w:tc>
          <w:tcPr>
            <w:tcW w:w="803" w:type="dxa"/>
            <w:vAlign w:val="center"/>
          </w:tcPr>
          <w:p>
            <w:pPr>
              <w:spacing w:line="320" w:lineRule="exact"/>
              <w:jc w:val="center"/>
              <w:rPr>
                <w:rFonts w:ascii="仿宋_GB2312" w:hAnsi="宋体" w:eastAsia="仿宋_GB2312" w:cs="仿宋_GB2312"/>
                <w:color w:val="000000"/>
                <w:kern w:val="0"/>
                <w:szCs w:val="21"/>
                <w:lang w:bidi="ar"/>
              </w:rPr>
            </w:pPr>
          </w:p>
        </w:tc>
      </w:tr>
    </w:tbl>
    <w:p/>
    <w:p>
      <w:pPr>
        <w:spacing w:line="520" w:lineRule="exact"/>
        <w:jc w:val="left"/>
        <w:rPr>
          <w:rFonts w:hint="eastAsia" w:ascii="黑体" w:hAnsi="黑体" w:eastAsia="黑体" w:cs="方正小标宋简体"/>
          <w:sz w:val="32"/>
          <w:szCs w:val="32"/>
        </w:rPr>
      </w:pPr>
    </w:p>
    <w:sectPr>
      <w:footerReference r:id="rId3" w:type="default"/>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mp;quot">
    <w:altName w:val="Cambria"/>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0090992"/>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13E54"/>
    <w:rsid w:val="00005BCF"/>
    <w:rsid w:val="000471A8"/>
    <w:rsid w:val="00054117"/>
    <w:rsid w:val="000925BA"/>
    <w:rsid w:val="000F2CA0"/>
    <w:rsid w:val="00100A7F"/>
    <w:rsid w:val="00127BC1"/>
    <w:rsid w:val="00164583"/>
    <w:rsid w:val="00187E79"/>
    <w:rsid w:val="00191A95"/>
    <w:rsid w:val="00192C74"/>
    <w:rsid w:val="00221DA9"/>
    <w:rsid w:val="00257C6B"/>
    <w:rsid w:val="002828A8"/>
    <w:rsid w:val="002C23DE"/>
    <w:rsid w:val="002D09C1"/>
    <w:rsid w:val="003001A5"/>
    <w:rsid w:val="003021AC"/>
    <w:rsid w:val="003208AE"/>
    <w:rsid w:val="00380054"/>
    <w:rsid w:val="00380C08"/>
    <w:rsid w:val="00390EF9"/>
    <w:rsid w:val="003D00AB"/>
    <w:rsid w:val="003F7D7D"/>
    <w:rsid w:val="00414A34"/>
    <w:rsid w:val="00423B48"/>
    <w:rsid w:val="00466469"/>
    <w:rsid w:val="004916AC"/>
    <w:rsid w:val="004D54A8"/>
    <w:rsid w:val="00500144"/>
    <w:rsid w:val="00601FEA"/>
    <w:rsid w:val="006C1679"/>
    <w:rsid w:val="006D5CC8"/>
    <w:rsid w:val="006D6020"/>
    <w:rsid w:val="00720A6F"/>
    <w:rsid w:val="0073480D"/>
    <w:rsid w:val="007642A9"/>
    <w:rsid w:val="008000C9"/>
    <w:rsid w:val="00820DE4"/>
    <w:rsid w:val="008267B2"/>
    <w:rsid w:val="008806FE"/>
    <w:rsid w:val="008C30AF"/>
    <w:rsid w:val="0091662B"/>
    <w:rsid w:val="009D06CE"/>
    <w:rsid w:val="009D7435"/>
    <w:rsid w:val="00A32A74"/>
    <w:rsid w:val="00A36606"/>
    <w:rsid w:val="00A637E0"/>
    <w:rsid w:val="00B45731"/>
    <w:rsid w:val="00B91F43"/>
    <w:rsid w:val="00B9380C"/>
    <w:rsid w:val="00B967E3"/>
    <w:rsid w:val="00BE0E71"/>
    <w:rsid w:val="00C20638"/>
    <w:rsid w:val="00C35749"/>
    <w:rsid w:val="00C846C6"/>
    <w:rsid w:val="00DB23F7"/>
    <w:rsid w:val="00DD3A7A"/>
    <w:rsid w:val="00DE1544"/>
    <w:rsid w:val="00E0164A"/>
    <w:rsid w:val="00E45AEE"/>
    <w:rsid w:val="00E770AA"/>
    <w:rsid w:val="00EB228D"/>
    <w:rsid w:val="00EF546C"/>
    <w:rsid w:val="00F20CE3"/>
    <w:rsid w:val="00F84092"/>
    <w:rsid w:val="00F97471"/>
    <w:rsid w:val="00FB6C95"/>
    <w:rsid w:val="0BFC744D"/>
    <w:rsid w:val="21104E7D"/>
    <w:rsid w:val="28EF69EE"/>
    <w:rsid w:val="2C8652E1"/>
    <w:rsid w:val="2D8804DA"/>
    <w:rsid w:val="2FC043E2"/>
    <w:rsid w:val="316859EA"/>
    <w:rsid w:val="323D2735"/>
    <w:rsid w:val="34A01A44"/>
    <w:rsid w:val="357C37C3"/>
    <w:rsid w:val="3DFE71D2"/>
    <w:rsid w:val="3F983826"/>
    <w:rsid w:val="41E72687"/>
    <w:rsid w:val="56327824"/>
    <w:rsid w:val="595E7283"/>
    <w:rsid w:val="5BBA0845"/>
    <w:rsid w:val="617051D2"/>
    <w:rsid w:val="67613E54"/>
    <w:rsid w:val="6D3C6EF9"/>
    <w:rsid w:val="7C4642A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3"/>
    <w:uiPriority w:val="0"/>
    <w:rPr>
      <w:kern w:val="2"/>
      <w:sz w:val="18"/>
      <w:szCs w:val="18"/>
    </w:rPr>
  </w:style>
  <w:style w:type="character" w:customStyle="1" w:styleId="9">
    <w:name w:val="页脚 字符"/>
    <w:basedOn w:val="5"/>
    <w:link w:val="2"/>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3CDC28-1C51-448C-AB1C-FD6604EC9D91}">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392</Words>
  <Characters>2237</Characters>
  <Lines>18</Lines>
  <Paragraphs>5</Paragraphs>
  <ScaleCrop>false</ScaleCrop>
  <LinksUpToDate>false</LinksUpToDate>
  <CharactersWithSpaces>2624</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2019-02-14T01:57:00Z</dcterms:created>
  <dc:creator>Administrator</dc:creator>
  <cp:lastModifiedBy>米思桥</cp:lastModifiedBy>
  <cp:lastPrinted>2019-02-14T02:01:00Z</cp:lastPrinted>
  <dcterms:modified xsi:type="dcterms:W3CDTF">2021-11-30T07:21:25Z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y fmtid="{D5CDD505-2E9C-101B-9397-08002B2CF9AE}" pid="3" name="ribbonExt">
    <vt:lpwstr>{"WPSExtOfficeTab":{"OnGetEnabled":false,"OnGetVisible":false}}</vt:lpwstr>
  </property>
</Properties>
</file>