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overflowPunct/>
        <w:topLinePunct w:val="0"/>
        <w:bidi w:val="0"/>
        <w:spacing w:line="240" w:lineRule="auto"/>
        <w:outlineLvl w:val="0"/>
        <w:rPr>
          <w:rFonts w:hint="default" w:ascii="黑体" w:hAnsi="黑体" w:eastAsia="黑体" w:cs="黑体"/>
          <w:color w:val="000000"/>
          <w:sz w:val="28"/>
          <w:szCs w:val="36"/>
          <w:lang w:val="en-US" w:eastAsia="zh-CN"/>
        </w:rPr>
      </w:pPr>
      <w:r>
        <w:rPr>
          <w:rFonts w:hint="eastAsia" w:ascii="黑体" w:hAnsi="黑体" w:eastAsia="黑体" w:cs="黑体"/>
          <w:color w:val="000000"/>
          <w:sz w:val="28"/>
          <w:szCs w:val="36"/>
          <w:lang w:eastAsia="zh-CN"/>
        </w:rPr>
        <w:t>附件</w:t>
      </w:r>
      <w:r>
        <w:rPr>
          <w:rFonts w:hint="eastAsia" w:ascii="黑体" w:hAnsi="黑体" w:eastAsia="黑体" w:cs="黑体"/>
          <w:color w:val="000000"/>
          <w:sz w:val="28"/>
          <w:szCs w:val="36"/>
          <w:lang w:val="en-US" w:eastAsia="zh-CN"/>
        </w:rPr>
        <w:t>3</w:t>
      </w:r>
    </w:p>
    <w:p>
      <w:pPr>
        <w:pageBreakBefore w:val="0"/>
        <w:numPr>
          <w:ilvl w:val="0"/>
          <w:numId w:val="1"/>
        </w:numPr>
        <w:kinsoku/>
        <w:wordWrap/>
        <w:overflowPunct/>
        <w:topLinePunct w:val="0"/>
        <w:bidi w:val="0"/>
        <w:spacing w:line="240" w:lineRule="auto"/>
        <w:outlineLvl w:val="0"/>
        <w:rPr>
          <w:rFonts w:hint="eastAsia" w:ascii="黑体" w:hAnsi="黑体" w:eastAsia="黑体" w:cs="黑体"/>
          <w:color w:val="000000"/>
          <w:sz w:val="28"/>
          <w:szCs w:val="36"/>
        </w:rPr>
      </w:pPr>
      <w:r>
        <w:rPr>
          <w:rFonts w:hint="eastAsia" w:ascii="仿宋_GB2312" w:hAnsi="仿宋_GB2312" w:eastAsia="仿宋_GB2312" w:cs="仿宋_GB2312"/>
          <w:bCs/>
          <w:color w:val="000000"/>
          <w:kern w:val="0"/>
          <w:sz w:val="28"/>
          <w:szCs w:val="28"/>
          <w:lang w:val="en-US" w:eastAsia="zh-CN" w:bidi="ar-SA"/>
        </w:rPr>
        <w:t>2022年度部分地市政府性融资担保费率“降1补1”的资金项目</w:t>
      </w:r>
    </w:p>
    <w:tbl>
      <w:tblPr>
        <w:tblStyle w:val="4"/>
        <w:tblW w:w="8926" w:type="dxa"/>
        <w:tblInd w:w="-274" w:type="dxa"/>
        <w:tblLayout w:type="fixed"/>
        <w:tblCellMar>
          <w:top w:w="15" w:type="dxa"/>
          <w:left w:w="15" w:type="dxa"/>
          <w:bottom w:w="15" w:type="dxa"/>
          <w:right w:w="15" w:type="dxa"/>
        </w:tblCellMar>
      </w:tblPr>
      <w:tblGrid>
        <w:gridCol w:w="1015"/>
        <w:gridCol w:w="1882"/>
        <w:gridCol w:w="2610"/>
        <w:gridCol w:w="1916"/>
        <w:gridCol w:w="1503"/>
      </w:tblGrid>
      <w:tr>
        <w:tblPrEx>
          <w:tblCellMar>
            <w:top w:w="15" w:type="dxa"/>
            <w:left w:w="15" w:type="dxa"/>
            <w:bottom w:w="15" w:type="dxa"/>
            <w:right w:w="15" w:type="dxa"/>
          </w:tblCellMar>
        </w:tblPrEx>
        <w:trPr>
          <w:trHeight w:val="540" w:hRule="atLeast"/>
        </w:trPr>
        <w:tc>
          <w:tcPr>
            <w:tcW w:w="8926"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rPr>
                <w:rFonts w:ascii="方正小标宋简体" w:hAnsi="方正小标宋简体" w:eastAsia="方正小标宋简体" w:cs="方正小标宋简体"/>
                <w:bCs/>
                <w:snapToGrid w:val="0"/>
                <w:color w:val="000000"/>
                <w:kern w:val="0"/>
                <w:sz w:val="36"/>
                <w:szCs w:val="36"/>
                <w:lang w:val="en-US" w:eastAsia="zh-CN" w:bidi="ar-SA"/>
              </w:rPr>
            </w:pPr>
            <w:r>
              <w:rPr>
                <w:rFonts w:hint="eastAsia" w:ascii="方正小标宋简体" w:hAnsi="方正小标宋简体" w:eastAsia="方正小标宋简体" w:cs="方正小标宋简体"/>
                <w:bCs/>
                <w:snapToGrid w:val="0"/>
                <w:color w:val="000000"/>
                <w:kern w:val="0"/>
                <w:sz w:val="36"/>
                <w:szCs w:val="36"/>
                <w:lang w:val="en-US" w:eastAsia="zh-CN" w:bidi="ar-SA"/>
              </w:rPr>
              <w:t>广东省促进经济高质量发展专项资金（金融发展）</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rPr>
                <w:rFonts w:ascii="方正小标宋简体" w:hAnsi="方正小标宋简体" w:eastAsia="方正小标宋简体" w:cs="方正小标宋简体"/>
                <w:bCs/>
                <w:snapToGrid w:val="0"/>
                <w:color w:val="000000"/>
                <w:kern w:val="0"/>
                <w:sz w:val="36"/>
                <w:szCs w:val="36"/>
                <w:lang w:val="en-US" w:eastAsia="zh-CN" w:bidi="ar-SA"/>
              </w:rPr>
            </w:pPr>
            <w:r>
              <w:rPr>
                <w:rFonts w:hint="eastAsia" w:ascii="方正小标宋简体" w:hAnsi="方正小标宋简体" w:eastAsia="方正小标宋简体" w:cs="方正小标宋简体"/>
                <w:bCs/>
                <w:snapToGrid w:val="0"/>
                <w:color w:val="000000"/>
                <w:kern w:val="0"/>
                <w:sz w:val="36"/>
                <w:szCs w:val="36"/>
                <w:lang w:val="en-US" w:eastAsia="zh-CN" w:bidi="ar-SA"/>
              </w:rPr>
              <w:t>绩效目标申报表</w:t>
            </w:r>
            <w:bookmarkStart w:id="21" w:name="_GoBack"/>
            <w:bookmarkEnd w:id="21"/>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0" w:firstLineChars="0"/>
              <w:jc w:val="center"/>
              <w:textAlignment w:val="auto"/>
              <w:rPr>
                <w:rFonts w:ascii="Times New Roman" w:hAnsi="Times New Roman" w:eastAsia="仿宋_GB2312" w:cs="Times New Roman"/>
                <w:bCs/>
                <w:snapToGrid w:val="0"/>
                <w:color w:val="000000"/>
                <w:kern w:val="0"/>
                <w:sz w:val="36"/>
                <w:szCs w:val="36"/>
                <w:lang w:val="en-US" w:eastAsia="zh-CN" w:bidi="ar-SA"/>
              </w:rPr>
            </w:pPr>
            <w:r>
              <w:rPr>
                <w:rFonts w:hint="eastAsia" w:ascii="楷体_GB2312" w:hAnsi="Times New Roman" w:eastAsia="楷体_GB2312" w:cs="Times New Roman"/>
                <w:bCs/>
                <w:snapToGrid w:val="0"/>
                <w:color w:val="000000"/>
                <w:kern w:val="0"/>
                <w:sz w:val="30"/>
                <w:szCs w:val="30"/>
                <w:lang w:val="en-US" w:eastAsia="zh-CN" w:bidi="ar-SA"/>
              </w:rPr>
              <w:t>（2023</w:t>
            </w:r>
            <w:r>
              <w:rPr>
                <w:rFonts w:ascii="楷体_GB2312" w:hAnsi="Times New Roman" w:eastAsia="楷体_GB2312" w:cs="Times New Roman"/>
                <w:bCs/>
                <w:snapToGrid w:val="0"/>
                <w:color w:val="000000"/>
                <w:kern w:val="0"/>
                <w:sz w:val="30"/>
                <w:szCs w:val="30"/>
                <w:lang w:val="en-US" w:eastAsia="zh-CN" w:bidi="ar-SA"/>
              </w:rPr>
              <w:t>年</w:t>
            </w:r>
            <w:r>
              <w:rPr>
                <w:rFonts w:hint="eastAsia" w:ascii="楷体_GB2312" w:hAnsi="Times New Roman" w:eastAsia="楷体_GB2312" w:cs="Times New Roman"/>
                <w:bCs/>
                <w:snapToGrid w:val="0"/>
                <w:color w:val="000000"/>
                <w:kern w:val="0"/>
                <w:sz w:val="30"/>
                <w:szCs w:val="30"/>
                <w:lang w:val="en-US" w:eastAsia="zh-CN" w:bidi="ar-SA"/>
              </w:rPr>
              <w:t>）</w:t>
            </w:r>
          </w:p>
        </w:tc>
      </w:tr>
      <w:tr>
        <w:tblPrEx>
          <w:tblCellMar>
            <w:top w:w="15" w:type="dxa"/>
            <w:left w:w="15" w:type="dxa"/>
            <w:bottom w:w="15" w:type="dxa"/>
            <w:right w:w="15" w:type="dxa"/>
          </w:tblCellMar>
        </w:tblPrEx>
        <w:trPr>
          <w:trHeight w:val="639" w:hRule="atLeas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申报单位</w:t>
            </w:r>
          </w:p>
        </w:tc>
        <w:tc>
          <w:tcPr>
            <w:tcW w:w="791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广东省地方金融监督管理局</w:t>
            </w:r>
          </w:p>
        </w:tc>
      </w:tr>
      <w:tr>
        <w:tblPrEx>
          <w:tblCellMar>
            <w:top w:w="15" w:type="dxa"/>
            <w:left w:w="15" w:type="dxa"/>
            <w:bottom w:w="15" w:type="dxa"/>
            <w:right w:w="15" w:type="dxa"/>
          </w:tblCellMar>
        </w:tblPrEx>
        <w:trPr>
          <w:trHeight w:val="639" w:hRule="atLeas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申报金额</w:t>
            </w:r>
          </w:p>
        </w:tc>
        <w:tc>
          <w:tcPr>
            <w:tcW w:w="791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500万元</w:t>
            </w:r>
          </w:p>
        </w:tc>
      </w:tr>
      <w:tr>
        <w:tblPrEx>
          <w:tblCellMar>
            <w:top w:w="15" w:type="dxa"/>
            <w:left w:w="15" w:type="dxa"/>
            <w:bottom w:w="15" w:type="dxa"/>
            <w:right w:w="15" w:type="dxa"/>
          </w:tblCellMar>
        </w:tblPrEx>
        <w:trPr>
          <w:trHeight w:val="2181" w:hRule="atLeas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年度目标</w:t>
            </w:r>
          </w:p>
        </w:tc>
        <w:tc>
          <w:tcPr>
            <w:tcW w:w="791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1.江门、惠州、肇庆市和粤东粤西粤北地区政府性融资担保机构，202</w:t>
            </w:r>
            <w:r>
              <w:rPr>
                <w:rFonts w:hint="default" w:ascii="仿宋_GB2312" w:hAnsi="仿宋_GB2312" w:eastAsia="仿宋_GB2312" w:cs="仿宋_GB2312"/>
                <w:color w:val="000000"/>
                <w:kern w:val="0"/>
                <w:sz w:val="21"/>
                <w:szCs w:val="21"/>
                <w:lang w:val="en" w:eastAsia="zh-CN" w:bidi="ar"/>
              </w:rPr>
              <w:t>2</w:t>
            </w:r>
            <w:r>
              <w:rPr>
                <w:rFonts w:hint="eastAsia" w:ascii="仿宋_GB2312" w:hAnsi="仿宋_GB2312" w:eastAsia="仿宋_GB2312" w:cs="仿宋_GB2312"/>
                <w:color w:val="000000"/>
                <w:kern w:val="0"/>
                <w:sz w:val="21"/>
                <w:szCs w:val="21"/>
                <w:lang w:val="en-US" w:eastAsia="zh-CN" w:bidi="ar"/>
              </w:rPr>
              <w:t>年新增的单户担保金额1,000万元以下、平均年化担保费率不超过（含）1%的小微企业融资担保业务不低于4亿元。</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default" w:ascii="仿宋_GB2312" w:hAnsi="仿宋_GB2312" w:eastAsia="仿宋_GB2312" w:cs="仿宋_GB2312"/>
                <w:color w:val="000000"/>
                <w:kern w:val="0"/>
                <w:sz w:val="21"/>
                <w:szCs w:val="21"/>
                <w:lang w:val="en" w:eastAsia="zh-CN" w:bidi="ar"/>
              </w:rPr>
              <w:t>2</w:t>
            </w:r>
            <w:r>
              <w:rPr>
                <w:rFonts w:hint="eastAsia" w:ascii="仿宋_GB2312" w:hAnsi="仿宋_GB2312" w:eastAsia="仿宋_GB2312" w:cs="仿宋_GB2312"/>
                <w:color w:val="000000"/>
                <w:kern w:val="0"/>
                <w:sz w:val="21"/>
                <w:szCs w:val="21"/>
                <w:lang w:val="en-US" w:eastAsia="zh-CN" w:bidi="ar"/>
              </w:rPr>
              <w:t>.小微企业年化担保费率不高于1%。</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default" w:ascii="仿宋_GB2312" w:hAnsi="仿宋_GB2312" w:eastAsia="仿宋_GB2312" w:cs="仿宋_GB2312"/>
                <w:color w:val="000000"/>
                <w:kern w:val="0"/>
                <w:sz w:val="21"/>
                <w:szCs w:val="21"/>
                <w:lang w:val="en" w:eastAsia="zh-CN" w:bidi="ar"/>
              </w:rPr>
              <w:t>3</w:t>
            </w:r>
            <w:r>
              <w:rPr>
                <w:rFonts w:hint="eastAsia" w:ascii="仿宋_GB2312" w:hAnsi="仿宋_GB2312" w:eastAsia="仿宋_GB2312" w:cs="仿宋_GB2312"/>
                <w:color w:val="000000"/>
                <w:kern w:val="0"/>
                <w:sz w:val="21"/>
                <w:szCs w:val="21"/>
                <w:lang w:val="en-US" w:eastAsia="zh-CN" w:bidi="ar"/>
              </w:rPr>
              <w:t>.接受发放降费补助专项资金的融资担保机构需提供不少于5%受支持企业户数的满意度回访表，回访满意度不得低于85%。</w:t>
            </w:r>
          </w:p>
        </w:tc>
      </w:tr>
      <w:tr>
        <w:tblPrEx>
          <w:tblCellMar>
            <w:top w:w="15" w:type="dxa"/>
            <w:left w:w="15" w:type="dxa"/>
            <w:bottom w:w="15" w:type="dxa"/>
            <w:right w:w="15" w:type="dxa"/>
          </w:tblCellMar>
        </w:tblPrEx>
        <w:trPr>
          <w:trHeight w:val="542" w:hRule="atLeas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阶段目标</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（6月底前）</w:t>
            </w:r>
          </w:p>
        </w:tc>
        <w:tc>
          <w:tcPr>
            <w:tcW w:w="791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1.江门、惠州、肇庆市和粤东粤西粤北地区政府性融资担保机构，2022年6月底前新增的单户担保金额1,000万元以下、平均年化担保费率不超过（含）1%的小微企业融资担保业务不低于2亿元。</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2.小微企业年化担保费率不高于1%。</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3.接受发放降费补助专项资金的融资担保机构需提供不少于5%受支持企业户数的满意度回访表，回访满意度不得低于85%。</w:t>
            </w:r>
          </w:p>
        </w:tc>
      </w:tr>
      <w:tr>
        <w:tblPrEx>
          <w:tblCellMar>
            <w:top w:w="15" w:type="dxa"/>
            <w:left w:w="15" w:type="dxa"/>
            <w:bottom w:w="15" w:type="dxa"/>
            <w:right w:w="15" w:type="dxa"/>
          </w:tblCellMar>
        </w:tblPrEx>
        <w:trPr>
          <w:trHeight w:val="424" w:hRule="atLeast"/>
        </w:trPr>
        <w:tc>
          <w:tcPr>
            <w:tcW w:w="2897"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val="0"/>
              <w:autoSpaceDE w:val="0"/>
              <w:autoSpaceDN w:val="0"/>
              <w:adjustRightInd w:val="0"/>
              <w:snapToGrid w:val="0"/>
              <w:spacing w:line="400" w:lineRule="exact"/>
              <w:ind w:firstLine="0" w:firstLineChars="0"/>
              <w:jc w:val="center"/>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目标</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val="0"/>
              <w:autoSpaceDE w:val="0"/>
              <w:autoSpaceDN w:val="0"/>
              <w:adjustRightInd w:val="0"/>
              <w:snapToGrid w:val="0"/>
              <w:spacing w:line="400" w:lineRule="exact"/>
              <w:ind w:firstLine="0" w:firstLineChars="0"/>
              <w:jc w:val="center"/>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指标内容及口径</w:t>
            </w:r>
          </w:p>
        </w:tc>
        <w:tc>
          <w:tcPr>
            <w:tcW w:w="1916" w:type="dxa"/>
            <w:tcBorders>
              <w:top w:val="single" w:color="000000" w:sz="4" w:space="0"/>
              <w:left w:val="single" w:color="000000" w:sz="4" w:space="0"/>
              <w:bottom w:val="single" w:color="auto" w:sz="4" w:space="0"/>
              <w:right w:val="single" w:color="000000" w:sz="4" w:space="0"/>
            </w:tcBorders>
            <w:noWrap w:val="0"/>
            <w:vAlign w:val="center"/>
          </w:tcPr>
          <w:p>
            <w:pPr>
              <w:widowControl w:val="0"/>
              <w:autoSpaceDE w:val="0"/>
              <w:autoSpaceDN w:val="0"/>
              <w:adjustRightInd w:val="0"/>
              <w:snapToGrid w:val="0"/>
              <w:spacing w:line="400" w:lineRule="exact"/>
              <w:ind w:firstLine="0" w:firstLineChars="0"/>
              <w:jc w:val="center"/>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阶段目标</w:t>
            </w:r>
          </w:p>
        </w:tc>
        <w:tc>
          <w:tcPr>
            <w:tcW w:w="1503" w:type="dxa"/>
            <w:tcBorders>
              <w:top w:val="single" w:color="000000" w:sz="4" w:space="0"/>
              <w:left w:val="single" w:color="000000" w:sz="4" w:space="0"/>
              <w:bottom w:val="single" w:color="auto" w:sz="4" w:space="0"/>
              <w:right w:val="single" w:color="000000" w:sz="4" w:space="0"/>
            </w:tcBorders>
            <w:noWrap w:val="0"/>
            <w:vAlign w:val="center"/>
          </w:tcPr>
          <w:p>
            <w:pPr>
              <w:widowControl w:val="0"/>
              <w:autoSpaceDE w:val="0"/>
              <w:autoSpaceDN w:val="0"/>
              <w:adjustRightInd w:val="0"/>
              <w:snapToGrid w:val="0"/>
              <w:spacing w:line="400" w:lineRule="exact"/>
              <w:ind w:firstLine="0" w:firstLineChars="0"/>
              <w:jc w:val="center"/>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年度目标</w:t>
            </w:r>
          </w:p>
        </w:tc>
      </w:tr>
      <w:tr>
        <w:tblPrEx>
          <w:tblCellMar>
            <w:top w:w="15" w:type="dxa"/>
            <w:left w:w="15" w:type="dxa"/>
            <w:bottom w:w="15" w:type="dxa"/>
            <w:right w:w="15" w:type="dxa"/>
          </w:tblCellMar>
        </w:tblPrEx>
        <w:trPr>
          <w:trHeight w:val="455" w:hRule="atLeast"/>
        </w:trPr>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产出</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指标</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质量指标</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报送项目的质量</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需全部符合</w:t>
            </w:r>
            <w:r>
              <w:rPr>
                <w:rFonts w:hint="eastAsia" w:ascii="Times New Roman" w:hAnsi="Times New Roman" w:eastAsia="仿宋_GB2312" w:cs="Times New Roman"/>
                <w:bCs/>
                <w:snapToGrid w:val="0"/>
                <w:color w:val="000000"/>
                <w:kern w:val="0"/>
                <w:sz w:val="21"/>
                <w:szCs w:val="21"/>
                <w:lang w:val="en-US" w:eastAsia="zh-CN" w:bidi="ar-SA"/>
              </w:rPr>
              <w:t>单户担保金额1,000万元以下、平均年化担保费率不超过（含）1%的小微企业</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需全部符合</w:t>
            </w:r>
            <w:r>
              <w:rPr>
                <w:rFonts w:hint="eastAsia" w:ascii="Times New Roman" w:hAnsi="Times New Roman" w:eastAsia="仿宋_GB2312" w:cs="Times New Roman"/>
                <w:bCs/>
                <w:snapToGrid w:val="0"/>
                <w:color w:val="000000"/>
                <w:kern w:val="0"/>
                <w:sz w:val="21"/>
                <w:szCs w:val="21"/>
                <w:lang w:val="en-US" w:eastAsia="zh-CN" w:bidi="ar-SA"/>
              </w:rPr>
              <w:t>单户担保金额1,000万元以下、平均年化担保费率不超过（含）1%的小微企业</w:t>
            </w:r>
          </w:p>
        </w:tc>
      </w:tr>
      <w:tr>
        <w:tblPrEx>
          <w:tblCellMar>
            <w:top w:w="15" w:type="dxa"/>
            <w:left w:w="15" w:type="dxa"/>
            <w:bottom w:w="15" w:type="dxa"/>
            <w:right w:w="15" w:type="dxa"/>
          </w:tblCellMar>
        </w:tblPrEx>
        <w:trPr>
          <w:trHeight w:val="585" w:hRule="atLeast"/>
        </w:trPr>
        <w:tc>
          <w:tcPr>
            <w:tcW w:w="10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效益</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指标</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经济效益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实现融资金额总量</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不低于2</w:t>
            </w:r>
            <w:r>
              <w:rPr>
                <w:rFonts w:ascii="Times New Roman" w:hAnsi="Times New Roman" w:eastAsia="仿宋_GB2312" w:cs="Times New Roman"/>
                <w:bCs/>
                <w:snapToGrid w:val="0"/>
                <w:color w:val="000000"/>
                <w:kern w:val="0"/>
                <w:sz w:val="21"/>
                <w:szCs w:val="21"/>
                <w:lang w:val="en-US" w:eastAsia="zh-CN" w:bidi="ar-SA"/>
              </w:rPr>
              <w:t>亿</w:t>
            </w:r>
            <w:r>
              <w:rPr>
                <w:rFonts w:hint="eastAsia" w:ascii="Times New Roman" w:hAnsi="Times New Roman" w:eastAsia="仿宋_GB2312" w:cs="Times New Roman"/>
                <w:bCs/>
                <w:snapToGrid w:val="0"/>
                <w:color w:val="000000"/>
                <w:kern w:val="0"/>
                <w:sz w:val="21"/>
                <w:szCs w:val="21"/>
                <w:lang w:val="en-US" w:eastAsia="zh-CN" w:bidi="ar-SA"/>
              </w:rPr>
              <w:t>元</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不低于4</w:t>
            </w:r>
            <w:r>
              <w:rPr>
                <w:rFonts w:ascii="Times New Roman" w:hAnsi="Times New Roman" w:eastAsia="仿宋_GB2312" w:cs="Times New Roman"/>
                <w:bCs/>
                <w:snapToGrid w:val="0"/>
                <w:color w:val="000000"/>
                <w:kern w:val="0"/>
                <w:sz w:val="21"/>
                <w:szCs w:val="21"/>
                <w:lang w:val="en-US" w:eastAsia="zh-CN" w:bidi="ar-SA"/>
              </w:rPr>
              <w:t>亿元</w:t>
            </w:r>
          </w:p>
        </w:tc>
      </w:tr>
      <w:tr>
        <w:tblPrEx>
          <w:tblCellMar>
            <w:top w:w="15" w:type="dxa"/>
            <w:left w:w="15" w:type="dxa"/>
            <w:bottom w:w="15" w:type="dxa"/>
            <w:right w:w="15" w:type="dxa"/>
          </w:tblCellMar>
        </w:tblPrEx>
        <w:trPr>
          <w:trHeight w:val="555" w:hRule="atLeast"/>
        </w:trPr>
        <w:tc>
          <w:tcPr>
            <w:tcW w:w="1015" w:type="dxa"/>
            <w:vMerge w:val="continue"/>
            <w:tcBorders>
              <w:top w:val="single" w:color="auto"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p>
        </w:tc>
        <w:tc>
          <w:tcPr>
            <w:tcW w:w="188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社会效益</w:t>
            </w:r>
          </w:p>
        </w:tc>
        <w:tc>
          <w:tcPr>
            <w:tcW w:w="26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小微企业年化担保费率</w:t>
            </w:r>
          </w:p>
        </w:tc>
        <w:tc>
          <w:tcPr>
            <w:tcW w:w="19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不高于1%</w:t>
            </w:r>
          </w:p>
        </w:tc>
        <w:tc>
          <w:tcPr>
            <w:tcW w:w="1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不高于1%</w:t>
            </w:r>
          </w:p>
        </w:tc>
      </w:tr>
      <w:tr>
        <w:tblPrEx>
          <w:tblCellMar>
            <w:top w:w="15" w:type="dxa"/>
            <w:left w:w="15" w:type="dxa"/>
            <w:bottom w:w="15" w:type="dxa"/>
            <w:right w:w="15" w:type="dxa"/>
          </w:tblCellMar>
        </w:tblPrEx>
        <w:trPr>
          <w:trHeight w:val="600" w:hRule="atLeast"/>
        </w:trPr>
        <w:tc>
          <w:tcPr>
            <w:tcW w:w="10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满意度</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服务对象数量</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支持企业的数量</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提供不少于5%受支持企业户数的满意度回访表</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提供不少于5%受支持企业户数的满意度回访表</w:t>
            </w:r>
          </w:p>
        </w:tc>
      </w:tr>
      <w:tr>
        <w:tblPrEx>
          <w:tblCellMar>
            <w:top w:w="15" w:type="dxa"/>
            <w:left w:w="15" w:type="dxa"/>
            <w:bottom w:w="15" w:type="dxa"/>
            <w:right w:w="15" w:type="dxa"/>
          </w:tblCellMar>
        </w:tblPrEx>
        <w:trPr>
          <w:trHeight w:val="685" w:hRule="atLeast"/>
        </w:trPr>
        <w:tc>
          <w:tcPr>
            <w:tcW w:w="10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p>
        </w:tc>
        <w:tc>
          <w:tcPr>
            <w:tcW w:w="1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满意度</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支持企业的满意度</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回访满意度不得低于85%。</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回访满意度不得低于85%。</w:t>
            </w:r>
          </w:p>
        </w:tc>
      </w:tr>
    </w:tbl>
    <w:p>
      <w:pPr>
        <w:pStyle w:val="2"/>
        <w:pageBreakBefore w:val="0"/>
        <w:kinsoku/>
        <w:wordWrap/>
        <w:overflowPunct/>
        <w:topLinePunct w:val="0"/>
        <w:bidi w:val="0"/>
        <w:spacing w:line="240" w:lineRule="auto"/>
        <w:jc w:val="center"/>
        <w:outlineLvl w:val="9"/>
        <w:rPr>
          <w:color w:val="000000"/>
        </w:rPr>
      </w:pPr>
    </w:p>
    <w:p>
      <w:pPr>
        <w:spacing w:line="240" w:lineRule="auto"/>
        <w:rPr>
          <w:rFonts w:hint="eastAsia"/>
          <w:color w:val="000000"/>
        </w:rPr>
      </w:pPr>
      <w:r>
        <w:rPr>
          <w:rFonts w:hint="eastAsia"/>
          <w:color w:val="000000"/>
        </w:rPr>
        <w:br w:type="page"/>
      </w:r>
    </w:p>
    <w:p>
      <w:pPr>
        <w:pageBreakBefore w:val="0"/>
        <w:numPr>
          <w:ilvl w:val="0"/>
          <w:numId w:val="1"/>
        </w:numPr>
        <w:kinsoku/>
        <w:wordWrap/>
        <w:overflowPunct/>
        <w:topLinePunct w:val="0"/>
        <w:bidi w:val="0"/>
        <w:spacing w:line="240" w:lineRule="auto"/>
        <w:outlineLvl w:val="0"/>
        <w:rPr>
          <w:rFonts w:hint="eastAsia" w:ascii="黑体" w:hAnsi="黑体" w:eastAsia="黑体" w:cs="黑体"/>
          <w:color w:val="000000"/>
          <w:sz w:val="28"/>
          <w:szCs w:val="36"/>
          <w:lang w:val="en-US" w:eastAsia="zh-CN"/>
        </w:rPr>
      </w:pPr>
      <w:r>
        <w:rPr>
          <w:rFonts w:hint="eastAsia" w:ascii="仿宋_GB2312" w:hAnsi="仿宋_GB2312" w:eastAsia="仿宋_GB2312" w:cs="仿宋_GB2312"/>
          <w:bCs/>
          <w:color w:val="000000"/>
          <w:kern w:val="0"/>
          <w:sz w:val="28"/>
          <w:szCs w:val="28"/>
          <w:lang w:val="en-US" w:eastAsia="zh-CN" w:bidi="ar-SA"/>
        </w:rPr>
        <w:t>普惠金融融资再担保保费补助项目</w:t>
      </w:r>
    </w:p>
    <w:tbl>
      <w:tblPr>
        <w:tblStyle w:val="4"/>
        <w:tblW w:w="8926" w:type="dxa"/>
        <w:tblInd w:w="-274" w:type="dxa"/>
        <w:tblLayout w:type="fixed"/>
        <w:tblCellMar>
          <w:top w:w="15" w:type="dxa"/>
          <w:left w:w="15" w:type="dxa"/>
          <w:bottom w:w="15" w:type="dxa"/>
          <w:right w:w="15" w:type="dxa"/>
        </w:tblCellMar>
      </w:tblPr>
      <w:tblGrid>
        <w:gridCol w:w="1267"/>
        <w:gridCol w:w="2068"/>
        <w:gridCol w:w="1957"/>
        <w:gridCol w:w="2131"/>
        <w:gridCol w:w="1503"/>
      </w:tblGrid>
      <w:tr>
        <w:tblPrEx>
          <w:tblCellMar>
            <w:top w:w="15" w:type="dxa"/>
            <w:left w:w="15" w:type="dxa"/>
            <w:bottom w:w="15" w:type="dxa"/>
            <w:right w:w="15" w:type="dxa"/>
          </w:tblCellMar>
        </w:tblPrEx>
        <w:trPr>
          <w:trHeight w:val="540" w:hRule="atLeast"/>
        </w:trPr>
        <w:tc>
          <w:tcPr>
            <w:tcW w:w="8926"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ascii="方正小标宋简体" w:hAnsi="方正小标宋简体" w:eastAsia="方正小标宋简体" w:cs="方正小标宋简体"/>
                <w:bCs/>
                <w:snapToGrid w:val="0"/>
                <w:color w:val="000000"/>
                <w:kern w:val="0"/>
                <w:sz w:val="36"/>
                <w:szCs w:val="36"/>
                <w:lang w:val="en-US" w:eastAsia="zh-CN" w:bidi="ar-SA"/>
              </w:rPr>
            </w:pPr>
            <w:r>
              <w:rPr>
                <w:rFonts w:hint="eastAsia" w:ascii="方正小标宋简体" w:hAnsi="方正小标宋简体" w:eastAsia="方正小标宋简体" w:cs="方正小标宋简体"/>
                <w:bCs/>
                <w:snapToGrid w:val="0"/>
                <w:color w:val="000000"/>
                <w:kern w:val="0"/>
                <w:sz w:val="36"/>
                <w:szCs w:val="36"/>
                <w:lang w:val="en-US" w:eastAsia="zh-CN" w:bidi="ar-SA"/>
              </w:rPr>
              <w:t>广东省促进经济高质量发展专项资金（金融发展）</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ascii="方正小标宋简体" w:hAnsi="方正小标宋简体" w:eastAsia="方正小标宋简体" w:cs="方正小标宋简体"/>
                <w:bCs/>
                <w:snapToGrid w:val="0"/>
                <w:color w:val="000000"/>
                <w:kern w:val="0"/>
                <w:sz w:val="36"/>
                <w:szCs w:val="36"/>
                <w:lang w:val="en-US" w:eastAsia="zh-CN" w:bidi="ar-SA"/>
              </w:rPr>
            </w:pPr>
            <w:r>
              <w:rPr>
                <w:rFonts w:hint="eastAsia" w:ascii="方正小标宋简体" w:hAnsi="方正小标宋简体" w:eastAsia="方正小标宋简体" w:cs="方正小标宋简体"/>
                <w:bCs/>
                <w:snapToGrid w:val="0"/>
                <w:color w:val="000000"/>
                <w:kern w:val="0"/>
                <w:sz w:val="36"/>
                <w:szCs w:val="36"/>
                <w:lang w:val="en-US" w:eastAsia="zh-CN" w:bidi="ar-SA"/>
              </w:rPr>
              <w:t>绩效目标申报表</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ascii="Times New Roman" w:hAnsi="Times New Roman" w:eastAsia="仿宋_GB2312" w:cs="Times New Roman"/>
                <w:bCs/>
                <w:snapToGrid w:val="0"/>
                <w:color w:val="000000"/>
                <w:kern w:val="0"/>
                <w:sz w:val="36"/>
                <w:szCs w:val="36"/>
                <w:lang w:val="en-US" w:eastAsia="zh-CN" w:bidi="ar-SA"/>
              </w:rPr>
            </w:pPr>
            <w:r>
              <w:rPr>
                <w:rFonts w:hint="eastAsia" w:ascii="楷体_GB2312" w:hAnsi="Times New Roman" w:eastAsia="楷体_GB2312" w:cs="Times New Roman"/>
                <w:bCs/>
                <w:snapToGrid w:val="0"/>
                <w:color w:val="000000"/>
                <w:kern w:val="0"/>
                <w:sz w:val="30"/>
                <w:szCs w:val="30"/>
                <w:lang w:val="en-US" w:eastAsia="zh-CN" w:bidi="ar-SA"/>
              </w:rPr>
              <w:t>（2023</w:t>
            </w:r>
            <w:r>
              <w:rPr>
                <w:rFonts w:ascii="楷体_GB2312" w:hAnsi="Times New Roman" w:eastAsia="楷体_GB2312" w:cs="Times New Roman"/>
                <w:bCs/>
                <w:snapToGrid w:val="0"/>
                <w:color w:val="000000"/>
                <w:kern w:val="0"/>
                <w:sz w:val="30"/>
                <w:szCs w:val="30"/>
                <w:lang w:val="en-US" w:eastAsia="zh-CN" w:bidi="ar-SA"/>
              </w:rPr>
              <w:t>年</w:t>
            </w:r>
            <w:r>
              <w:rPr>
                <w:rFonts w:hint="eastAsia" w:ascii="楷体_GB2312" w:hAnsi="Times New Roman" w:eastAsia="楷体_GB2312" w:cs="Times New Roman"/>
                <w:bCs/>
                <w:snapToGrid w:val="0"/>
                <w:color w:val="000000"/>
                <w:kern w:val="0"/>
                <w:sz w:val="30"/>
                <w:szCs w:val="30"/>
                <w:lang w:val="en-US" w:eastAsia="zh-CN" w:bidi="ar-SA"/>
              </w:rPr>
              <w:t>）</w:t>
            </w:r>
          </w:p>
        </w:tc>
      </w:tr>
      <w:tr>
        <w:tblPrEx>
          <w:tblCellMar>
            <w:top w:w="15" w:type="dxa"/>
            <w:left w:w="15" w:type="dxa"/>
            <w:bottom w:w="15" w:type="dxa"/>
            <w:right w:w="15" w:type="dxa"/>
          </w:tblCellMar>
        </w:tblPrEx>
        <w:trPr>
          <w:trHeight w:val="639" w:hRule="atLeast"/>
        </w:trPr>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申报单位</w:t>
            </w:r>
          </w:p>
        </w:tc>
        <w:tc>
          <w:tcPr>
            <w:tcW w:w="765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粤财普惠金融（广东）融资再担保有限公司</w:t>
            </w:r>
          </w:p>
        </w:tc>
      </w:tr>
      <w:tr>
        <w:tblPrEx>
          <w:tblCellMar>
            <w:top w:w="15" w:type="dxa"/>
            <w:left w:w="15" w:type="dxa"/>
            <w:bottom w:w="15" w:type="dxa"/>
            <w:right w:w="15" w:type="dxa"/>
          </w:tblCellMar>
        </w:tblPrEx>
        <w:trPr>
          <w:trHeight w:val="639" w:hRule="atLeast"/>
        </w:trPr>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申报金额</w:t>
            </w:r>
          </w:p>
        </w:tc>
        <w:tc>
          <w:tcPr>
            <w:tcW w:w="765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2,400</w:t>
            </w:r>
            <w:r>
              <w:rPr>
                <w:rFonts w:ascii="Times New Roman" w:hAnsi="Times New Roman" w:eastAsia="仿宋_GB2312" w:cs="Times New Roman"/>
                <w:bCs/>
                <w:snapToGrid w:val="0"/>
                <w:color w:val="000000"/>
                <w:kern w:val="0"/>
                <w:sz w:val="21"/>
                <w:szCs w:val="21"/>
                <w:lang w:val="en-US" w:eastAsia="zh-CN" w:bidi="ar-SA"/>
              </w:rPr>
              <w:t>万元</w:t>
            </w:r>
          </w:p>
        </w:tc>
      </w:tr>
      <w:tr>
        <w:tblPrEx>
          <w:tblCellMar>
            <w:top w:w="15" w:type="dxa"/>
            <w:left w:w="15" w:type="dxa"/>
            <w:bottom w:w="15" w:type="dxa"/>
            <w:right w:w="15" w:type="dxa"/>
          </w:tblCellMar>
        </w:tblPrEx>
        <w:trPr>
          <w:trHeight w:val="2596" w:hRule="atLeast"/>
        </w:trPr>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年度目标</w:t>
            </w:r>
          </w:p>
        </w:tc>
        <w:tc>
          <w:tcPr>
            <w:tcW w:w="765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仿宋_GB2312" w:cs="Times New Roman"/>
                <w:bCs/>
                <w:snapToGrid w:val="0"/>
                <w:color w:val="000000"/>
                <w:kern w:val="0"/>
                <w:sz w:val="21"/>
                <w:szCs w:val="21"/>
              </w:rPr>
            </w:pPr>
            <w:r>
              <w:rPr>
                <w:rFonts w:hint="eastAsia" w:ascii="Times New Roman" w:hAnsi="Times New Roman" w:eastAsia="仿宋_GB2312" w:cs="Times New Roman"/>
                <w:bCs/>
                <w:snapToGrid w:val="0"/>
                <w:color w:val="000000"/>
                <w:kern w:val="0"/>
                <w:sz w:val="21"/>
                <w:szCs w:val="21"/>
              </w:rPr>
              <w:t>1.粤财普惠再担保向国家融资担保基金报送再担保业务合作规模不低于</w:t>
            </w:r>
            <w:r>
              <w:rPr>
                <w:rFonts w:hint="eastAsia" w:ascii="Times New Roman" w:hAnsi="Times New Roman" w:eastAsia="仿宋_GB2312" w:cs="Times New Roman"/>
                <w:bCs/>
                <w:snapToGrid w:val="0"/>
                <w:color w:val="000000"/>
                <w:kern w:val="0"/>
                <w:sz w:val="21"/>
                <w:szCs w:val="21"/>
                <w:lang w:eastAsia="zh-CN"/>
              </w:rPr>
              <w:t>135</w:t>
            </w:r>
            <w:r>
              <w:rPr>
                <w:rFonts w:hint="eastAsia" w:ascii="Times New Roman" w:hAnsi="Times New Roman" w:eastAsia="仿宋_GB2312" w:cs="Times New Roman"/>
                <w:bCs/>
                <w:snapToGrid w:val="0"/>
                <w:color w:val="000000"/>
                <w:kern w:val="0"/>
                <w:sz w:val="21"/>
                <w:szCs w:val="21"/>
              </w:rPr>
              <w:t>亿元。其中，合作融资担保机构支小支农担保金额占全部担保金额的比例不得低于80%，单户担保金额500万元及以下的占比不得低于50%。</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仿宋_GB2312" w:cs="Times New Roman"/>
                <w:bCs/>
                <w:snapToGrid w:val="0"/>
                <w:color w:val="000000"/>
                <w:kern w:val="0"/>
                <w:sz w:val="21"/>
                <w:szCs w:val="21"/>
              </w:rPr>
            </w:pPr>
            <w:r>
              <w:rPr>
                <w:rFonts w:hint="eastAsia" w:ascii="Times New Roman" w:hAnsi="Times New Roman" w:eastAsia="仿宋_GB2312" w:cs="Times New Roman"/>
                <w:bCs/>
                <w:snapToGrid w:val="0"/>
                <w:color w:val="000000"/>
                <w:kern w:val="0"/>
                <w:sz w:val="21"/>
                <w:szCs w:val="21"/>
              </w:rPr>
              <w:t>2.支持符合国家融资担保基金合作要求的小微企业（含个体工商户、小微企业主）、“三农”、创业创新和战略性新兴产业企业不少于</w:t>
            </w:r>
            <w:r>
              <w:rPr>
                <w:rFonts w:hint="eastAsia" w:ascii="Times New Roman" w:hAnsi="Times New Roman" w:eastAsia="仿宋_GB2312" w:cs="Times New Roman"/>
                <w:bCs/>
                <w:snapToGrid w:val="0"/>
                <w:color w:val="000000"/>
                <w:kern w:val="0"/>
                <w:sz w:val="21"/>
                <w:szCs w:val="21"/>
                <w:lang w:val="en-US" w:eastAsia="zh-CN"/>
              </w:rPr>
              <w:t>12,000</w:t>
            </w:r>
            <w:r>
              <w:rPr>
                <w:rFonts w:hint="eastAsia" w:ascii="Times New Roman" w:hAnsi="Times New Roman" w:eastAsia="仿宋_GB2312" w:cs="Times New Roman"/>
                <w:bCs/>
                <w:snapToGrid w:val="0"/>
                <w:color w:val="000000"/>
                <w:kern w:val="0"/>
                <w:sz w:val="21"/>
                <w:szCs w:val="21"/>
              </w:rPr>
              <w:t>户次。</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仿宋_GB2312" w:cs="Times New Roman"/>
                <w:bCs/>
                <w:snapToGrid w:val="0"/>
                <w:color w:val="000000"/>
                <w:kern w:val="0"/>
                <w:sz w:val="21"/>
                <w:szCs w:val="21"/>
              </w:rPr>
            </w:pPr>
            <w:r>
              <w:rPr>
                <w:rFonts w:hint="eastAsia" w:ascii="Times New Roman" w:hAnsi="Times New Roman" w:eastAsia="仿宋_GB2312" w:cs="Times New Roman"/>
                <w:bCs/>
                <w:snapToGrid w:val="0"/>
                <w:color w:val="000000"/>
                <w:kern w:val="0"/>
                <w:sz w:val="21"/>
                <w:szCs w:val="21"/>
              </w:rPr>
              <w:t>3.接受发放</w:t>
            </w:r>
            <w:r>
              <w:rPr>
                <w:rFonts w:hint="eastAsia" w:ascii="Times New Roman" w:hAnsi="Times New Roman" w:eastAsia="仿宋_GB2312" w:cs="Times New Roman"/>
                <w:bCs/>
                <w:snapToGrid w:val="0"/>
                <w:color w:val="000000"/>
                <w:kern w:val="0"/>
                <w:sz w:val="21"/>
                <w:szCs w:val="21"/>
                <w:lang w:eastAsia="zh-CN"/>
              </w:rPr>
              <w:t>普惠金融融资再担保保费补助</w:t>
            </w:r>
            <w:r>
              <w:rPr>
                <w:rFonts w:hint="eastAsia" w:ascii="Times New Roman" w:hAnsi="Times New Roman" w:eastAsia="仿宋_GB2312" w:cs="Times New Roman"/>
                <w:bCs/>
                <w:snapToGrid w:val="0"/>
                <w:color w:val="000000"/>
                <w:kern w:val="0"/>
                <w:sz w:val="21"/>
                <w:szCs w:val="21"/>
              </w:rPr>
              <w:t>专项资金的融资担保机构所报送的项目需全部符合国家融资担保基金要求。</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仿宋_GB2312" w:cs="Times New Roman"/>
                <w:bCs/>
                <w:snapToGrid w:val="0"/>
                <w:color w:val="000000"/>
                <w:kern w:val="0"/>
                <w:sz w:val="21"/>
                <w:szCs w:val="21"/>
              </w:rPr>
            </w:pPr>
            <w:r>
              <w:rPr>
                <w:rFonts w:hint="eastAsia" w:ascii="Times New Roman" w:hAnsi="Times New Roman" w:eastAsia="仿宋_GB2312" w:cs="Times New Roman"/>
                <w:bCs/>
                <w:snapToGrid w:val="0"/>
                <w:color w:val="000000"/>
                <w:kern w:val="0"/>
                <w:sz w:val="21"/>
                <w:szCs w:val="21"/>
              </w:rPr>
              <w:t>4.</w:t>
            </w:r>
            <w:r>
              <w:rPr>
                <w:rFonts w:hint="eastAsia" w:ascii="Times New Roman" w:hAnsi="Times New Roman" w:eastAsia="仿宋_GB2312" w:cs="Times New Roman"/>
                <w:bCs/>
                <w:snapToGrid w:val="0"/>
                <w:color w:val="000000"/>
                <w:kern w:val="0"/>
                <w:sz w:val="21"/>
                <w:szCs w:val="21"/>
                <w:lang w:eastAsia="zh-CN"/>
              </w:rPr>
              <w:t>普惠金融融资再担保保费补助</w:t>
            </w:r>
            <w:r>
              <w:rPr>
                <w:rFonts w:hint="eastAsia" w:ascii="Times New Roman" w:hAnsi="Times New Roman" w:eastAsia="仿宋_GB2312" w:cs="Times New Roman"/>
                <w:bCs/>
                <w:snapToGrid w:val="0"/>
                <w:color w:val="000000"/>
                <w:kern w:val="0"/>
                <w:sz w:val="21"/>
                <w:szCs w:val="21"/>
              </w:rPr>
              <w:t>专项资金发放需按进度在约定时间发放，即按月度发放。</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5.接受发放普惠金融融资再担保保费补助专项资金的融资担保机构需提供不少于5%受支持企业户数的满意度回访表，回访满意度不得低于90%。</w:t>
            </w:r>
          </w:p>
        </w:tc>
      </w:tr>
      <w:tr>
        <w:tblPrEx>
          <w:tblCellMar>
            <w:top w:w="15" w:type="dxa"/>
            <w:left w:w="15" w:type="dxa"/>
            <w:bottom w:w="15" w:type="dxa"/>
            <w:right w:w="15" w:type="dxa"/>
          </w:tblCellMar>
        </w:tblPrEx>
        <w:trPr>
          <w:trHeight w:val="542" w:hRule="atLeast"/>
        </w:trPr>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阶段目标</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w:t>
            </w:r>
            <w:r>
              <w:rPr>
                <w:rFonts w:ascii="Times New Roman" w:hAnsi="Times New Roman" w:eastAsia="仿宋_GB2312" w:cs="Times New Roman"/>
                <w:bCs/>
                <w:snapToGrid w:val="0"/>
                <w:color w:val="000000"/>
                <w:kern w:val="0"/>
                <w:sz w:val="21"/>
                <w:szCs w:val="21"/>
                <w:lang w:val="en-US" w:eastAsia="zh-CN" w:bidi="ar-SA"/>
              </w:rPr>
              <w:t>6</w:t>
            </w:r>
            <w:r>
              <w:rPr>
                <w:rFonts w:hint="eastAsia" w:ascii="Times New Roman" w:hAnsi="Times New Roman" w:eastAsia="仿宋_GB2312" w:cs="Times New Roman"/>
                <w:bCs/>
                <w:snapToGrid w:val="0"/>
                <w:color w:val="000000"/>
                <w:kern w:val="0"/>
                <w:sz w:val="21"/>
                <w:szCs w:val="21"/>
                <w:lang w:val="en-US" w:eastAsia="zh-CN" w:bidi="ar-SA"/>
              </w:rPr>
              <w:t>月底前）</w:t>
            </w:r>
          </w:p>
        </w:tc>
        <w:tc>
          <w:tcPr>
            <w:tcW w:w="765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1.</w:t>
            </w:r>
            <w:r>
              <w:rPr>
                <w:rFonts w:hint="eastAsia" w:ascii="Times New Roman" w:hAnsi="Times New Roman" w:eastAsia="仿宋_GB2312" w:cs="Times New Roman"/>
                <w:bCs/>
                <w:snapToGrid w:val="0"/>
                <w:color w:val="000000"/>
                <w:kern w:val="0"/>
                <w:sz w:val="21"/>
                <w:szCs w:val="21"/>
                <w:lang w:val="en-US" w:eastAsia="zh-CN" w:bidi="ar-SA"/>
              </w:rPr>
              <w:t>6月底前累计支出普惠金融融资再担保保费补助1,200</w:t>
            </w:r>
            <w:r>
              <w:rPr>
                <w:rFonts w:ascii="Times New Roman" w:hAnsi="Times New Roman" w:eastAsia="仿宋_GB2312" w:cs="Times New Roman"/>
                <w:bCs/>
                <w:snapToGrid w:val="0"/>
                <w:color w:val="000000"/>
                <w:kern w:val="0"/>
                <w:sz w:val="21"/>
                <w:szCs w:val="21"/>
                <w:lang w:val="en-US" w:eastAsia="zh-CN" w:bidi="ar-SA"/>
              </w:rPr>
              <w:t>万元</w:t>
            </w:r>
            <w:r>
              <w:rPr>
                <w:rFonts w:hint="eastAsia" w:ascii="Times New Roman" w:hAnsi="Times New Roman" w:eastAsia="仿宋_GB2312" w:cs="Times New Roman"/>
                <w:bCs/>
                <w:snapToGrid w:val="0"/>
                <w:color w:val="000000"/>
                <w:kern w:val="0"/>
                <w:sz w:val="21"/>
                <w:szCs w:val="21"/>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2.</w:t>
            </w:r>
            <w:r>
              <w:rPr>
                <w:rFonts w:hint="eastAsia" w:ascii="Times New Roman" w:hAnsi="Times New Roman" w:eastAsia="仿宋_GB2312" w:cs="Times New Roman"/>
                <w:bCs/>
                <w:snapToGrid w:val="0"/>
                <w:color w:val="000000"/>
                <w:kern w:val="0"/>
                <w:sz w:val="21"/>
                <w:szCs w:val="21"/>
                <w:lang w:val="en-US" w:eastAsia="zh-CN" w:bidi="ar-SA"/>
              </w:rPr>
              <w:t>粤财普惠再担保向国家融资担保基金报送再担保业务合作规模不低于67.5亿元。其中，合作融资担保机构支小支农担保金额占全部担保金额的比例不得低于80%，单户担保金额500万元及以下的占比不得低于50%。</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3</w:t>
            </w:r>
            <w:r>
              <w:rPr>
                <w:rFonts w:ascii="Times New Roman" w:hAnsi="Times New Roman" w:eastAsia="仿宋_GB2312" w:cs="Times New Roman"/>
                <w:bCs/>
                <w:snapToGrid w:val="0"/>
                <w:color w:val="000000"/>
                <w:kern w:val="0"/>
                <w:sz w:val="21"/>
                <w:szCs w:val="21"/>
                <w:lang w:val="en-US" w:eastAsia="zh-CN" w:bidi="ar-SA"/>
              </w:rPr>
              <w:t>.</w:t>
            </w:r>
            <w:r>
              <w:rPr>
                <w:rFonts w:hint="eastAsia" w:ascii="Times New Roman" w:hAnsi="Times New Roman" w:eastAsia="仿宋_GB2312" w:cs="Times New Roman"/>
                <w:bCs/>
                <w:snapToGrid w:val="0"/>
                <w:color w:val="000000"/>
                <w:kern w:val="0"/>
                <w:sz w:val="21"/>
                <w:szCs w:val="21"/>
                <w:lang w:val="en-US" w:eastAsia="zh-CN" w:bidi="ar-SA"/>
              </w:rPr>
              <w:t>支持符合国家融资担保基金合作要求的小微企业（含个体工商户、小微企业主）、“三农”、创业创新和战略性新兴产业企业不少于6,000户次。</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4</w:t>
            </w:r>
            <w:r>
              <w:rPr>
                <w:rFonts w:hint="eastAsia" w:ascii="Times New Roman" w:hAnsi="Times New Roman" w:eastAsia="仿宋_GB2312" w:cs="Times New Roman"/>
                <w:bCs/>
                <w:snapToGrid w:val="0"/>
                <w:color w:val="000000"/>
                <w:kern w:val="0"/>
                <w:sz w:val="21"/>
                <w:szCs w:val="21"/>
                <w:lang w:val="en-US" w:eastAsia="zh-CN" w:bidi="ar-SA"/>
              </w:rPr>
              <w:t>.接受发放普惠金融融资再担保保费补助专项资金的融资担保机构所报送的项目需全部符合国家融资担保基金要求。</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5</w:t>
            </w:r>
            <w:r>
              <w:rPr>
                <w:rFonts w:hint="eastAsia" w:ascii="Times New Roman" w:hAnsi="Times New Roman" w:eastAsia="仿宋_GB2312" w:cs="Times New Roman"/>
                <w:bCs/>
                <w:snapToGrid w:val="0"/>
                <w:color w:val="000000"/>
                <w:kern w:val="0"/>
                <w:sz w:val="21"/>
                <w:szCs w:val="21"/>
                <w:lang w:val="en-US" w:eastAsia="zh-CN" w:bidi="ar-SA"/>
              </w:rPr>
              <w:t>.接受发放普惠金融融资再担保保费补助专项资金的融资担保机构需提供不少于5%受支持企业户数的满意度回访表，回访满意度不得低于90%。</w:t>
            </w:r>
          </w:p>
        </w:tc>
      </w:tr>
      <w:tr>
        <w:tblPrEx>
          <w:tblCellMar>
            <w:top w:w="15" w:type="dxa"/>
            <w:left w:w="15" w:type="dxa"/>
            <w:bottom w:w="15" w:type="dxa"/>
            <w:right w:w="15" w:type="dxa"/>
          </w:tblCellMar>
        </w:tblPrEx>
        <w:trPr>
          <w:trHeight w:val="424" w:hRule="atLeast"/>
        </w:trPr>
        <w:tc>
          <w:tcPr>
            <w:tcW w:w="333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目标</w:t>
            </w:r>
          </w:p>
        </w:tc>
        <w:tc>
          <w:tcPr>
            <w:tcW w:w="195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指标内容及口径</w:t>
            </w:r>
          </w:p>
        </w:tc>
        <w:tc>
          <w:tcPr>
            <w:tcW w:w="213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阶段目标</w:t>
            </w:r>
          </w:p>
        </w:tc>
        <w:tc>
          <w:tcPr>
            <w:tcW w:w="150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年度目标</w:t>
            </w:r>
          </w:p>
        </w:tc>
      </w:tr>
      <w:tr>
        <w:tblPrEx>
          <w:tblCellMar>
            <w:top w:w="15" w:type="dxa"/>
            <w:left w:w="15" w:type="dxa"/>
            <w:bottom w:w="15" w:type="dxa"/>
            <w:right w:w="15" w:type="dxa"/>
          </w:tblCellMar>
        </w:tblPrEx>
        <w:trPr>
          <w:trHeight w:val="2649" w:hRule="atLeast"/>
        </w:trPr>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产出</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指标</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数量指标</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color w:val="000000"/>
                <w:kern w:val="0"/>
                <w:sz w:val="21"/>
                <w:szCs w:val="21"/>
                <w:lang w:val="en-US" w:eastAsia="zh-CN" w:bidi="ar-SA"/>
              </w:rPr>
              <w:t>支小支农担保金额占全部担保金额的比例，单户担保金额500万元及以下的占比。</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color w:val="000000"/>
                <w:kern w:val="0"/>
                <w:sz w:val="21"/>
                <w:szCs w:val="21"/>
                <w:lang w:val="en-US" w:eastAsia="zh-CN" w:bidi="ar-SA"/>
              </w:rPr>
              <w:t>分别不得低于80%和不得低于50%</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color w:val="000000"/>
                <w:kern w:val="0"/>
                <w:sz w:val="21"/>
                <w:szCs w:val="21"/>
                <w:lang w:val="en-US" w:eastAsia="zh-CN" w:bidi="ar-SA"/>
              </w:rPr>
              <w:t>分别不得低于80%和不得低于50%</w:t>
            </w:r>
          </w:p>
        </w:tc>
      </w:tr>
      <w:tr>
        <w:tblPrEx>
          <w:tblCellMar>
            <w:top w:w="15" w:type="dxa"/>
            <w:left w:w="15" w:type="dxa"/>
            <w:bottom w:w="15" w:type="dxa"/>
            <w:right w:w="15" w:type="dxa"/>
          </w:tblCellMar>
        </w:tblPrEx>
        <w:trPr>
          <w:trHeight w:val="455" w:hRule="atLeast"/>
        </w:trPr>
        <w:tc>
          <w:tcPr>
            <w:tcW w:w="1267" w:type="dxa"/>
            <w:vMerge w:val="continue"/>
            <w:tcBorders>
              <w:top w:val="single" w:color="auto"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p>
        </w:tc>
        <w:tc>
          <w:tcPr>
            <w:tcW w:w="2068"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质量指标</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报送项目的质量</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需全部符合国家融资担保基金的备案项目要求</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需全部符合国家融资担保基金的备案项目要求</w:t>
            </w:r>
          </w:p>
        </w:tc>
      </w:tr>
      <w:tr>
        <w:tblPrEx>
          <w:tblCellMar>
            <w:top w:w="15" w:type="dxa"/>
            <w:left w:w="15" w:type="dxa"/>
            <w:bottom w:w="15" w:type="dxa"/>
            <w:right w:w="15" w:type="dxa"/>
          </w:tblCellMar>
        </w:tblPrEx>
        <w:trPr>
          <w:trHeight w:val="507" w:hRule="atLeast"/>
        </w:trPr>
        <w:tc>
          <w:tcPr>
            <w:tcW w:w="1267" w:type="dxa"/>
            <w:vMerge w:val="continue"/>
            <w:tcBorders>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p>
        </w:tc>
        <w:tc>
          <w:tcPr>
            <w:tcW w:w="20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时效指标</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普惠金融融资再担保保费补助专项资金需按进度在约定时间发放</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按月</w:t>
            </w:r>
            <w:r>
              <w:rPr>
                <w:rFonts w:ascii="仿宋_GB2312" w:hAnsi="宋体" w:eastAsia="仿宋_GB2312" w:cs="宋体"/>
                <w:bCs/>
                <w:snapToGrid/>
                <w:color w:val="000000"/>
                <w:kern w:val="2"/>
                <w:sz w:val="21"/>
                <w:szCs w:val="21"/>
                <w:lang w:val="en-US" w:eastAsia="zh-CN" w:bidi="ar-SA"/>
              </w:rPr>
              <w:t>发放</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按月</w:t>
            </w:r>
            <w:r>
              <w:rPr>
                <w:rFonts w:ascii="仿宋_GB2312" w:hAnsi="宋体" w:eastAsia="仿宋_GB2312" w:cs="宋体"/>
                <w:bCs/>
                <w:snapToGrid/>
                <w:color w:val="000000"/>
                <w:kern w:val="2"/>
                <w:sz w:val="21"/>
                <w:szCs w:val="21"/>
                <w:lang w:val="en-US" w:eastAsia="zh-CN" w:bidi="ar-SA"/>
              </w:rPr>
              <w:t>发放</w:t>
            </w:r>
          </w:p>
        </w:tc>
      </w:tr>
      <w:tr>
        <w:tblPrEx>
          <w:tblCellMar>
            <w:top w:w="15" w:type="dxa"/>
            <w:left w:w="15" w:type="dxa"/>
            <w:bottom w:w="15" w:type="dxa"/>
            <w:right w:w="15" w:type="dxa"/>
          </w:tblCellMar>
        </w:tblPrEx>
        <w:trPr>
          <w:trHeight w:val="417" w:hRule="atLeast"/>
        </w:trPr>
        <w:tc>
          <w:tcPr>
            <w:tcW w:w="1267" w:type="dxa"/>
            <w:vMerge w:val="continue"/>
            <w:tcBorders>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p>
        </w:tc>
        <w:tc>
          <w:tcPr>
            <w:tcW w:w="20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成本指标</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按照资金使用计划执行</w:t>
            </w:r>
          </w:p>
        </w:tc>
        <w:tc>
          <w:tcPr>
            <w:tcW w:w="2131" w:type="dxa"/>
            <w:tcBorders>
              <w:top w:val="single" w:color="auto"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08" w:hanging="94" w:hangingChars="45"/>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支出50</w:t>
            </w:r>
            <w:r>
              <w:rPr>
                <w:rFonts w:hint="eastAsia" w:ascii="Times New Roman" w:hAnsi="Times New Roman" w:eastAsia="仿宋_GB2312" w:cs="Times New Roman"/>
                <w:bCs/>
                <w:snapToGrid w:val="0"/>
                <w:color w:val="000000"/>
                <w:kern w:val="0"/>
                <w:sz w:val="21"/>
                <w:szCs w:val="21"/>
                <w:lang w:val="en-US" w:eastAsia="zh-CN" w:bidi="ar-SA"/>
              </w:rPr>
              <w:t>%</w:t>
            </w:r>
          </w:p>
        </w:tc>
        <w:tc>
          <w:tcPr>
            <w:tcW w:w="1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支出</w:t>
            </w:r>
            <w:r>
              <w:rPr>
                <w:rFonts w:hint="eastAsia" w:ascii="Times New Roman" w:hAnsi="Times New Roman" w:eastAsia="仿宋_GB2312" w:cs="Times New Roman"/>
                <w:bCs/>
                <w:snapToGrid w:val="0"/>
                <w:color w:val="000000"/>
                <w:kern w:val="0"/>
                <w:sz w:val="21"/>
                <w:szCs w:val="21"/>
                <w:lang w:val="en-US" w:eastAsia="zh-CN" w:bidi="ar-SA"/>
              </w:rPr>
              <w:t>1</w:t>
            </w:r>
            <w:r>
              <w:rPr>
                <w:rFonts w:ascii="Times New Roman" w:hAnsi="Times New Roman" w:eastAsia="仿宋_GB2312" w:cs="Times New Roman"/>
                <w:bCs/>
                <w:snapToGrid w:val="0"/>
                <w:color w:val="000000"/>
                <w:kern w:val="0"/>
                <w:sz w:val="21"/>
                <w:szCs w:val="21"/>
                <w:lang w:val="en-US" w:eastAsia="zh-CN" w:bidi="ar-SA"/>
              </w:rPr>
              <w:t>00</w:t>
            </w:r>
            <w:r>
              <w:rPr>
                <w:rFonts w:hint="eastAsia" w:ascii="Times New Roman" w:hAnsi="Times New Roman" w:eastAsia="仿宋_GB2312" w:cs="Times New Roman"/>
                <w:bCs/>
                <w:snapToGrid w:val="0"/>
                <w:color w:val="000000"/>
                <w:kern w:val="0"/>
                <w:sz w:val="21"/>
                <w:szCs w:val="21"/>
                <w:lang w:val="en-US" w:eastAsia="zh-CN" w:bidi="ar-SA"/>
              </w:rPr>
              <w:t>%</w:t>
            </w:r>
          </w:p>
        </w:tc>
      </w:tr>
      <w:tr>
        <w:tblPrEx>
          <w:tblCellMar>
            <w:top w:w="15" w:type="dxa"/>
            <w:left w:w="15" w:type="dxa"/>
            <w:bottom w:w="15" w:type="dxa"/>
            <w:right w:w="15" w:type="dxa"/>
          </w:tblCellMar>
        </w:tblPrEx>
        <w:trPr>
          <w:trHeight w:val="585" w:hRule="atLeast"/>
        </w:trPr>
        <w:tc>
          <w:tcPr>
            <w:tcW w:w="126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效益</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指标</w:t>
            </w: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经济效益</w:t>
            </w:r>
          </w:p>
        </w:tc>
        <w:tc>
          <w:tcPr>
            <w:tcW w:w="1957" w:type="dxa"/>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实现融资金额总量</w:t>
            </w:r>
          </w:p>
        </w:tc>
        <w:tc>
          <w:tcPr>
            <w:tcW w:w="213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不低于67.5</w:t>
            </w:r>
            <w:r>
              <w:rPr>
                <w:rFonts w:ascii="Times New Roman" w:hAnsi="Times New Roman" w:eastAsia="仿宋_GB2312" w:cs="Times New Roman"/>
                <w:bCs/>
                <w:snapToGrid w:val="0"/>
                <w:color w:val="000000"/>
                <w:kern w:val="0"/>
                <w:sz w:val="21"/>
                <w:szCs w:val="21"/>
                <w:lang w:val="en-US" w:eastAsia="zh-CN" w:bidi="ar-SA"/>
              </w:rPr>
              <w:t>亿</w:t>
            </w:r>
            <w:r>
              <w:rPr>
                <w:rFonts w:hint="eastAsia" w:ascii="Times New Roman" w:hAnsi="Times New Roman" w:eastAsia="仿宋_GB2312" w:cs="Times New Roman"/>
                <w:bCs/>
                <w:snapToGrid w:val="0"/>
                <w:color w:val="000000"/>
                <w:kern w:val="0"/>
                <w:sz w:val="21"/>
                <w:szCs w:val="21"/>
                <w:lang w:val="en-US" w:eastAsia="zh-CN" w:bidi="ar-SA"/>
              </w:rPr>
              <w:t>元</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不低于135</w:t>
            </w:r>
            <w:r>
              <w:rPr>
                <w:rFonts w:ascii="Times New Roman" w:hAnsi="Times New Roman" w:eastAsia="仿宋_GB2312" w:cs="Times New Roman"/>
                <w:bCs/>
                <w:snapToGrid w:val="0"/>
                <w:color w:val="000000"/>
                <w:kern w:val="0"/>
                <w:sz w:val="21"/>
                <w:szCs w:val="21"/>
                <w:lang w:val="en-US" w:eastAsia="zh-CN" w:bidi="ar-SA"/>
              </w:rPr>
              <w:t>亿元</w:t>
            </w:r>
          </w:p>
        </w:tc>
      </w:tr>
      <w:tr>
        <w:tblPrEx>
          <w:tblCellMar>
            <w:top w:w="15" w:type="dxa"/>
            <w:left w:w="15" w:type="dxa"/>
            <w:bottom w:w="15" w:type="dxa"/>
            <w:right w:w="15" w:type="dxa"/>
          </w:tblCellMar>
        </w:tblPrEx>
        <w:trPr>
          <w:trHeight w:val="555" w:hRule="atLeast"/>
        </w:trPr>
        <w:tc>
          <w:tcPr>
            <w:tcW w:w="126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社会效益</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ascii="Times New Roman" w:hAnsi="Times New Roman" w:eastAsia="仿宋_GB2312" w:cs="Times New Roman"/>
                <w:bCs/>
                <w:snapToGrid w:val="0"/>
                <w:color w:val="000000"/>
                <w:kern w:val="0"/>
                <w:sz w:val="21"/>
                <w:szCs w:val="21"/>
                <w:lang w:val="en-US" w:eastAsia="zh-CN" w:bidi="ar-SA"/>
              </w:rPr>
              <w:t>业务覆盖中小微企业数量</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6,000</w:t>
            </w:r>
            <w:r>
              <w:rPr>
                <w:rFonts w:ascii="Times New Roman" w:hAnsi="Times New Roman" w:eastAsia="仿宋_GB2312" w:cs="Times New Roman"/>
                <w:bCs/>
                <w:snapToGrid w:val="0"/>
                <w:color w:val="000000"/>
                <w:kern w:val="0"/>
                <w:sz w:val="21"/>
                <w:szCs w:val="21"/>
                <w:lang w:val="en-US" w:eastAsia="zh-CN" w:bidi="ar-SA"/>
              </w:rPr>
              <w:t>户</w:t>
            </w:r>
            <w:r>
              <w:rPr>
                <w:rFonts w:hint="eastAsia" w:ascii="Times New Roman" w:hAnsi="Times New Roman" w:eastAsia="仿宋_GB2312" w:cs="Times New Roman"/>
                <w:bCs/>
                <w:snapToGrid w:val="0"/>
                <w:color w:val="000000"/>
                <w:kern w:val="0"/>
                <w:sz w:val="21"/>
                <w:szCs w:val="21"/>
                <w:lang w:val="en-US" w:eastAsia="zh-CN" w:bidi="ar-SA"/>
              </w:rPr>
              <w:t>次</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12,000</w:t>
            </w:r>
            <w:r>
              <w:rPr>
                <w:rFonts w:ascii="Times New Roman" w:hAnsi="Times New Roman" w:eastAsia="仿宋_GB2312" w:cs="Times New Roman"/>
                <w:bCs/>
                <w:snapToGrid w:val="0"/>
                <w:color w:val="000000"/>
                <w:kern w:val="0"/>
                <w:sz w:val="21"/>
                <w:szCs w:val="21"/>
                <w:lang w:val="en-US" w:eastAsia="zh-CN" w:bidi="ar-SA"/>
              </w:rPr>
              <w:t>户次</w:t>
            </w:r>
          </w:p>
        </w:tc>
      </w:tr>
      <w:tr>
        <w:tblPrEx>
          <w:tblCellMar>
            <w:top w:w="15" w:type="dxa"/>
            <w:left w:w="15" w:type="dxa"/>
            <w:bottom w:w="15" w:type="dxa"/>
            <w:right w:w="15" w:type="dxa"/>
          </w:tblCellMar>
        </w:tblPrEx>
        <w:trPr>
          <w:trHeight w:val="600" w:hRule="atLeast"/>
        </w:trPr>
        <w:tc>
          <w:tcPr>
            <w:tcW w:w="126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满意度</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服务对象数量</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支持企业的数量</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提供不少于5%受支持企业户数的满意度回访表</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提供不少于5%受支持企业户数的满意度回访表</w:t>
            </w:r>
          </w:p>
        </w:tc>
      </w:tr>
      <w:tr>
        <w:tblPrEx>
          <w:tblCellMar>
            <w:top w:w="15" w:type="dxa"/>
            <w:left w:w="15" w:type="dxa"/>
            <w:bottom w:w="15" w:type="dxa"/>
            <w:right w:w="15" w:type="dxa"/>
          </w:tblCellMar>
        </w:tblPrEx>
        <w:trPr>
          <w:trHeight w:val="865" w:hRule="atLeast"/>
        </w:trPr>
        <w:tc>
          <w:tcPr>
            <w:tcW w:w="12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bCs/>
                <w:snapToGrid w:val="0"/>
                <w:color w:val="000000"/>
                <w:kern w:val="0"/>
                <w:sz w:val="21"/>
                <w:szCs w:val="21"/>
                <w:lang w:val="en-US" w:eastAsia="zh-CN" w:bidi="ar-SA"/>
              </w:rPr>
            </w:pP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ascii="Times New Roman" w:hAnsi="Times New Roman" w:eastAsia="仿宋_GB2312" w:cs="Times New Roman"/>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满意度</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snapToGrid w:val="0"/>
                <w:color w:val="000000"/>
                <w:kern w:val="0"/>
                <w:sz w:val="21"/>
                <w:szCs w:val="21"/>
                <w:lang w:val="en-US" w:eastAsia="zh-CN" w:bidi="ar-SA"/>
              </w:rPr>
              <w:t>支持企业的满意度</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回访满意度不得低于90%。</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ascii="Times New Roman" w:hAnsi="Times New Roman" w:eastAsia="仿宋_GB2312" w:cs="Times New Roman"/>
                <w:bCs/>
                <w:snapToGrid w:val="0"/>
                <w:color w:val="000000"/>
                <w:kern w:val="0"/>
                <w:sz w:val="21"/>
                <w:szCs w:val="21"/>
                <w:lang w:val="en-US" w:eastAsia="zh-CN" w:bidi="ar-SA"/>
              </w:rPr>
            </w:pPr>
            <w:r>
              <w:rPr>
                <w:rFonts w:hint="eastAsia" w:ascii="Times New Roman" w:hAnsi="Times New Roman" w:eastAsia="仿宋_GB2312" w:cs="Times New Roman"/>
                <w:bCs/>
                <w:snapToGrid w:val="0"/>
                <w:color w:val="000000"/>
                <w:kern w:val="0"/>
                <w:sz w:val="21"/>
                <w:szCs w:val="21"/>
                <w:lang w:val="en-US" w:eastAsia="zh-CN" w:bidi="ar-SA"/>
              </w:rPr>
              <w:t>回访满意度不得低于90%。</w:t>
            </w:r>
          </w:p>
        </w:tc>
      </w:tr>
    </w:tbl>
    <w:p>
      <w:pPr>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color w:val="000000"/>
          <w:sz w:val="28"/>
          <w:szCs w:val="36"/>
          <w:lang w:val="en-US" w:eastAsia="zh-CN"/>
        </w:rPr>
      </w:pPr>
      <w:r>
        <w:rPr>
          <w:rFonts w:hint="eastAsia" w:ascii="仿宋_GB2312" w:hAnsi="仿宋_GB2312" w:eastAsia="仿宋_GB2312" w:cs="仿宋_GB2312"/>
          <w:bCs/>
          <w:color w:val="000000"/>
          <w:kern w:val="0"/>
          <w:sz w:val="28"/>
          <w:szCs w:val="28"/>
          <w:lang w:val="en-US" w:eastAsia="zh-CN" w:bidi="ar-SA"/>
        </w:rPr>
        <w:t>深化“科技创新专板”“专精特新板”“乡村振兴板”为核心的特色板块体系建设，促进广东区域性股权市场高质量发展项目</w:t>
      </w:r>
    </w:p>
    <w:p>
      <w:pPr>
        <w:pStyle w:val="6"/>
        <w:keepNext w:val="0"/>
        <w:keepLines w:val="0"/>
        <w:pageBreakBefore w:val="0"/>
        <w:widowControl w:val="0"/>
        <w:kinsoku/>
        <w:wordWrap/>
        <w:overflowPunct/>
        <w:topLinePunct w:val="0"/>
        <w:bidi w:val="0"/>
        <w:spacing w:line="480" w:lineRule="exact"/>
        <w:ind w:firstLine="0" w:firstLineChars="0"/>
        <w:jc w:val="center"/>
        <w:textAlignment w:val="auto"/>
        <w:outlineLvl w:val="9"/>
        <w:rPr>
          <w:rFonts w:ascii="方正小标宋简体" w:hAnsi="方正小标宋简体" w:eastAsia="方正小标宋简体" w:cs="方正小标宋简体"/>
          <w:bCs/>
          <w:color w:val="000000"/>
          <w:sz w:val="36"/>
          <w:szCs w:val="36"/>
          <w:highlight w:val="none"/>
        </w:rPr>
      </w:pPr>
      <w:bookmarkStart w:id="0" w:name="_Toc23979"/>
      <w:r>
        <w:rPr>
          <w:rFonts w:hint="eastAsia" w:ascii="方正小标宋简体" w:hAnsi="方正小标宋简体" w:eastAsia="方正小标宋简体" w:cs="方正小标宋简体"/>
          <w:bCs/>
          <w:color w:val="000000"/>
          <w:sz w:val="36"/>
          <w:szCs w:val="36"/>
          <w:highlight w:val="none"/>
        </w:rPr>
        <w:t>广东省促进经济高质量发展专项资金（金融发展）</w:t>
      </w:r>
      <w:bookmarkEnd w:id="0"/>
    </w:p>
    <w:p>
      <w:pPr>
        <w:pStyle w:val="6"/>
        <w:keepNext w:val="0"/>
        <w:keepLines w:val="0"/>
        <w:pageBreakBefore w:val="0"/>
        <w:widowControl w:val="0"/>
        <w:kinsoku/>
        <w:wordWrap/>
        <w:overflowPunct/>
        <w:topLinePunct w:val="0"/>
        <w:bidi w:val="0"/>
        <w:spacing w:line="480" w:lineRule="exact"/>
        <w:ind w:firstLine="0" w:firstLineChars="0"/>
        <w:jc w:val="center"/>
        <w:textAlignment w:val="auto"/>
        <w:outlineLvl w:val="9"/>
        <w:rPr>
          <w:rFonts w:ascii="方正小标宋简体" w:hAnsi="方正小标宋简体" w:eastAsia="方正小标宋简体" w:cs="方正小标宋简体"/>
          <w:bCs/>
          <w:color w:val="000000"/>
          <w:sz w:val="36"/>
          <w:szCs w:val="36"/>
          <w:highlight w:val="none"/>
        </w:rPr>
      </w:pPr>
      <w:bookmarkStart w:id="1" w:name="_Toc2816"/>
      <w:r>
        <w:rPr>
          <w:rFonts w:hint="eastAsia" w:ascii="方正小标宋简体" w:hAnsi="方正小标宋简体" w:eastAsia="方正小标宋简体" w:cs="方正小标宋简体"/>
          <w:bCs/>
          <w:color w:val="000000"/>
          <w:sz w:val="36"/>
          <w:szCs w:val="36"/>
          <w:highlight w:val="none"/>
        </w:rPr>
        <w:t>绩效目标申报表</w:t>
      </w:r>
      <w:bookmarkEnd w:id="1"/>
    </w:p>
    <w:p>
      <w:pPr>
        <w:pStyle w:val="2"/>
        <w:keepNext w:val="0"/>
        <w:keepLines w:val="0"/>
        <w:pageBreakBefore w:val="0"/>
        <w:widowControl w:val="0"/>
        <w:kinsoku/>
        <w:wordWrap/>
        <w:overflowPunct/>
        <w:topLinePunct w:val="0"/>
        <w:bidi w:val="0"/>
        <w:spacing w:line="480" w:lineRule="exact"/>
        <w:jc w:val="center"/>
        <w:textAlignment w:val="auto"/>
        <w:rPr>
          <w:rFonts w:ascii="Times New Roman" w:hAnsi="Times New Roman"/>
          <w:color w:val="000000"/>
          <w:highlight w:val="none"/>
        </w:rPr>
      </w:pPr>
      <w:r>
        <w:rPr>
          <w:rFonts w:hint="eastAsia" w:ascii="Times New Roman" w:hAnsi="Times New Roman" w:eastAsia="楷体_GB2312"/>
          <w:bCs/>
          <w:color w:val="000000"/>
          <w:sz w:val="30"/>
          <w:szCs w:val="30"/>
          <w:highlight w:val="none"/>
        </w:rPr>
        <w:t>（2023</w:t>
      </w:r>
      <w:r>
        <w:rPr>
          <w:rFonts w:ascii="Times New Roman" w:hAnsi="Times New Roman" w:eastAsia="楷体_GB2312"/>
          <w:bCs/>
          <w:color w:val="000000"/>
          <w:sz w:val="30"/>
          <w:szCs w:val="30"/>
          <w:highlight w:val="none"/>
        </w:rPr>
        <w:t>年</w:t>
      </w:r>
      <w:r>
        <w:rPr>
          <w:rFonts w:hint="eastAsia" w:ascii="Times New Roman" w:hAnsi="Times New Roman" w:eastAsia="楷体_GB2312"/>
          <w:bCs/>
          <w:color w:val="000000"/>
          <w:sz w:val="30"/>
          <w:szCs w:val="30"/>
          <w:highlight w:val="none"/>
        </w:rPr>
        <w:t>）</w:t>
      </w:r>
    </w:p>
    <w:tbl>
      <w:tblPr>
        <w:tblStyle w:val="4"/>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6"/>
        <w:gridCol w:w="1716"/>
        <w:gridCol w:w="2268"/>
        <w:gridCol w:w="1337"/>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9" w:hRule="atLeast"/>
          <w:jc w:val="center"/>
        </w:trPr>
        <w:tc>
          <w:tcPr>
            <w:tcW w:w="1276"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申报单位</w:t>
            </w:r>
          </w:p>
        </w:tc>
        <w:tc>
          <w:tcPr>
            <w:tcW w:w="8122" w:type="dxa"/>
            <w:gridSpan w:val="4"/>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广东股权交易中心股份有限公司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9" w:hRule="atLeast"/>
          <w:jc w:val="center"/>
        </w:trPr>
        <w:tc>
          <w:tcPr>
            <w:tcW w:w="1276"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申报金额</w:t>
            </w:r>
          </w:p>
        </w:tc>
        <w:tc>
          <w:tcPr>
            <w:tcW w:w="8122" w:type="dxa"/>
            <w:gridSpan w:val="4"/>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625</w:t>
            </w:r>
            <w:r>
              <w:rPr>
                <w:rFonts w:hint="eastAsia" w:ascii="仿宋_GB2312" w:hAnsi="仿宋_GB2312" w:eastAsia="仿宋_GB2312" w:cs="仿宋_GB2312"/>
                <w:bCs/>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3" w:hRule="atLeast"/>
          <w:jc w:val="center"/>
        </w:trPr>
        <w:tc>
          <w:tcPr>
            <w:tcW w:w="1276"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年度目标</w:t>
            </w:r>
          </w:p>
        </w:tc>
        <w:tc>
          <w:tcPr>
            <w:tcW w:w="8122" w:type="dxa"/>
            <w:gridSpan w:val="4"/>
            <w:noWrap w:val="0"/>
            <w:vAlign w:val="center"/>
          </w:tcPr>
          <w:p>
            <w:pPr>
              <w:keepNext w:val="0"/>
              <w:keepLines w:val="0"/>
              <w:pageBreakBefore w:val="0"/>
              <w:widowControl w:val="0"/>
              <w:kinsoku/>
              <w:wordWrap/>
              <w:overflowPunct/>
              <w:topLinePunct w:val="0"/>
              <w:bidi w:val="0"/>
              <w:spacing w:line="320" w:lineRule="exact"/>
              <w:ind w:firstLine="420" w:firstLineChars="200"/>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广东股权交易中心拟通过“科技创新专板”“专精特新板”“乡村振兴板”三大板块建设实施，搭建综合金融服务平台，建立以三大特色板块为核心的综合金融服务体系，提高广东区域性股权市场挂牌企业质量。</w:t>
            </w:r>
          </w:p>
          <w:p>
            <w:pPr>
              <w:keepNext w:val="0"/>
              <w:keepLines w:val="0"/>
              <w:pageBreakBefore w:val="0"/>
              <w:widowControl w:val="0"/>
              <w:kinsoku/>
              <w:wordWrap/>
              <w:overflowPunct/>
              <w:topLinePunct w:val="0"/>
              <w:bidi w:val="0"/>
              <w:spacing w:line="320" w:lineRule="exact"/>
              <w:ind w:firstLine="420" w:firstLineChars="200"/>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力争到2023年，广东股交通过三大特色板块建设，提升企业服务水平及覆盖面。同时，以三大特色板块为抓手，推动优质企业在区域性股权市场汇聚，争取全年在区域性股权市场实现新增上板企业800家（含挂牌、注册展示及托管企业），新增各类融资</w:t>
            </w:r>
            <w:r>
              <w:rPr>
                <w:rFonts w:hint="eastAsia" w:ascii="仿宋_GB2312" w:hAnsi="仿宋_GB2312" w:eastAsia="仿宋_GB2312" w:cs="仿宋_GB2312"/>
                <w:color w:val="000000"/>
                <w:sz w:val="21"/>
                <w:szCs w:val="21"/>
                <w:highlight w:val="none"/>
                <w:lang w:val="en-US" w:eastAsia="zh-CN"/>
              </w:rPr>
              <w:t>交易</w:t>
            </w:r>
            <w:r>
              <w:rPr>
                <w:rFonts w:hint="eastAsia" w:ascii="仿宋_GB2312" w:hAnsi="仿宋_GB2312" w:eastAsia="仿宋_GB2312" w:cs="仿宋_GB2312"/>
                <w:color w:val="000000"/>
                <w:sz w:val="21"/>
                <w:szCs w:val="21"/>
                <w:highlight w:val="none"/>
              </w:rPr>
              <w:t>突破200亿元，切实缓解企业融资难题，为企业纾困解难。</w:t>
            </w:r>
          </w:p>
          <w:p>
            <w:pPr>
              <w:keepNext w:val="0"/>
              <w:keepLines w:val="0"/>
              <w:pageBreakBefore w:val="0"/>
              <w:widowControl w:val="0"/>
              <w:kinsoku/>
              <w:wordWrap/>
              <w:overflowPunct/>
              <w:topLinePunct w:val="0"/>
              <w:bidi w:val="0"/>
              <w:spacing w:line="320" w:lineRule="exact"/>
              <w:ind w:firstLine="420" w:firstLineChars="200"/>
              <w:textAlignment w:val="auto"/>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同时，2023年，要借助“科技创新专板”“专精特新板”“乡村振兴板”三大板块建设，不断提升广东区域性股权市场综合金融服务能力和可持续竞争力，包括：不断提升区域性股权市场企业综合金融服务能力，全面提升挂牌企业质量，促进区域性股权市场高质量发展；不断提升区域性股权市场企业服务覆盖面，提升企业服务精准度，优化综合金融服务模式；不断推动国家区块链创新试点应用场景落地，丰富及优化企业综合金融服务方式</w:t>
            </w:r>
            <w:r>
              <w:rPr>
                <w:rFonts w:hint="eastAsia" w:ascii="仿宋_GB2312" w:hAnsi="仿宋_GB2312" w:eastAsia="仿宋_GB2312" w:cs="仿宋_GB2312"/>
                <w:color w:val="000000"/>
                <w:sz w:val="21"/>
                <w:szCs w:val="21"/>
                <w:highlight w:val="none"/>
                <w:lang w:eastAsia="zh-CN"/>
              </w:rPr>
              <w:t>。</w:t>
            </w:r>
          </w:p>
          <w:p>
            <w:pPr>
              <w:keepNext w:val="0"/>
              <w:keepLines w:val="0"/>
              <w:pageBreakBefore w:val="0"/>
              <w:widowControl w:val="0"/>
              <w:kinsoku/>
              <w:wordWrap/>
              <w:overflowPunct/>
              <w:topLinePunct w:val="0"/>
              <w:bidi w:val="0"/>
              <w:spacing w:line="320" w:lineRule="exact"/>
              <w:ind w:firstLine="420" w:firstLineChars="200"/>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向中国证监会以广东区域性股权市场“科技创新专板”“专精特新板”“乡村振兴板”三大板块建设为基础，积极争取相关业务创新试点；优化企业综合金融服务与数字金融的结合方式，争到2023年，通过运营广东省中小企业融资平台，实现“一码对接、一步授权、一库管理”的一站式数字融资服务，打造特色板块的数字化智能融资平台；同时，借助广东区域性股权市场成功获批国家区块链创新应用试点资格契机，通过区块链建设，建立三大板块企业动态全面记录的“一企一档”企业成长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atLeast"/>
          <w:jc w:val="center"/>
        </w:trPr>
        <w:tc>
          <w:tcPr>
            <w:tcW w:w="1276"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阶段目标</w:t>
            </w:r>
          </w:p>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（6月底前）</w:t>
            </w:r>
          </w:p>
        </w:tc>
        <w:tc>
          <w:tcPr>
            <w:tcW w:w="8122" w:type="dxa"/>
            <w:gridSpan w:val="4"/>
            <w:noWrap w:val="0"/>
            <w:vAlign w:val="center"/>
          </w:tcPr>
          <w:p>
            <w:pPr>
              <w:keepNext w:val="0"/>
              <w:keepLines w:val="0"/>
              <w:pageBreakBefore w:val="0"/>
              <w:widowControl w:val="0"/>
              <w:kinsoku/>
              <w:wordWrap/>
              <w:overflowPunct/>
              <w:topLinePunct w:val="0"/>
              <w:bidi w:val="0"/>
              <w:spacing w:line="320" w:lineRule="exact"/>
              <w:ind w:firstLine="420" w:firstLineChars="200"/>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力争2023年6月底，以三大特板块为核心的综合金融服务体系布局初步形成，企业服务深度得以提升，发挥三大特色板块的样本效应，企业服务广度得以提升；以三大特色板块为抓手，推动优质企业在区域性股权市场汇聚，争取全年在区域性股权市场实现新增上板企业400家（含挂牌、注册展示及托管企业），新增各类融资</w:t>
            </w:r>
            <w:r>
              <w:rPr>
                <w:rFonts w:hint="eastAsia" w:ascii="仿宋_GB2312" w:hAnsi="仿宋_GB2312" w:eastAsia="仿宋_GB2312" w:cs="仿宋_GB2312"/>
                <w:color w:val="000000"/>
                <w:sz w:val="21"/>
                <w:szCs w:val="21"/>
                <w:highlight w:val="none"/>
                <w:lang w:val="en-US" w:eastAsia="zh-CN"/>
              </w:rPr>
              <w:t>交易</w:t>
            </w:r>
            <w:r>
              <w:rPr>
                <w:rFonts w:hint="eastAsia" w:ascii="仿宋_GB2312" w:hAnsi="仿宋_GB2312" w:eastAsia="仿宋_GB2312" w:cs="仿宋_GB2312"/>
                <w:color w:val="000000"/>
                <w:sz w:val="21"/>
                <w:szCs w:val="21"/>
                <w:highlight w:val="none"/>
              </w:rPr>
              <w:t>突破100亿元，切实缓解企业融资难题，为企业纾困解难；此外，2023年围绕三大板块企业积极举办各类培训、路演、孵化培育等活动。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1" w:hRule="atLeast"/>
          <w:jc w:val="center"/>
        </w:trPr>
        <w:tc>
          <w:tcPr>
            <w:tcW w:w="2992" w:type="dxa"/>
            <w:gridSpan w:val="2"/>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目标</w:t>
            </w: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指标内容及口径</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阶段目标</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jc w:val="center"/>
        </w:trPr>
        <w:tc>
          <w:tcPr>
            <w:tcW w:w="1276" w:type="dxa"/>
            <w:vMerge w:val="restart"/>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产出指标</w:t>
            </w:r>
          </w:p>
        </w:tc>
        <w:tc>
          <w:tcPr>
            <w:tcW w:w="1716" w:type="dxa"/>
            <w:vMerge w:val="restart"/>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数量指标</w:t>
            </w: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举办</w:t>
            </w:r>
            <w:r>
              <w:rPr>
                <w:rFonts w:hint="eastAsia" w:ascii="仿宋_GB2312" w:hAnsi="仿宋_GB2312" w:eastAsia="仿宋_GB2312" w:cs="仿宋_GB2312"/>
                <w:bCs/>
                <w:color w:val="000000"/>
                <w:sz w:val="21"/>
                <w:szCs w:val="21"/>
                <w:highlight w:val="none"/>
              </w:rPr>
              <w:t>培训、研讨、论坛等活动</w:t>
            </w:r>
            <w:r>
              <w:rPr>
                <w:rFonts w:hint="eastAsia" w:ascii="仿宋_GB2312" w:hAnsi="仿宋_GB2312" w:eastAsia="仿宋_GB2312" w:cs="仿宋_GB2312"/>
                <w:bCs/>
                <w:color w:val="000000"/>
                <w:sz w:val="21"/>
                <w:szCs w:val="21"/>
                <w:highlight w:val="none"/>
                <w:lang w:val="en-US" w:eastAsia="zh-CN"/>
              </w:rPr>
              <w:t>场（次）</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15场</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30场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对优质企业进行</w:t>
            </w:r>
            <w:r>
              <w:rPr>
                <w:rFonts w:hint="eastAsia" w:ascii="仿宋_GB2312" w:hAnsi="仿宋_GB2312" w:eastAsia="仿宋_GB2312" w:cs="仿宋_GB2312"/>
                <w:bCs/>
                <w:color w:val="000000"/>
                <w:sz w:val="21"/>
                <w:szCs w:val="21"/>
                <w:highlight w:val="none"/>
              </w:rPr>
              <w:t>宣传推广家（次）数</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25家（次）</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50家（次）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val="en-US" w:eastAsia="zh-CN"/>
              </w:rPr>
              <w:t>委托</w:t>
            </w:r>
            <w:r>
              <w:rPr>
                <w:rFonts w:hint="eastAsia" w:ascii="仿宋_GB2312" w:hAnsi="仿宋_GB2312" w:eastAsia="仿宋_GB2312" w:cs="仿宋_GB2312"/>
                <w:bCs/>
                <w:color w:val="000000"/>
                <w:sz w:val="21"/>
                <w:szCs w:val="21"/>
                <w:highlight w:val="none"/>
              </w:rPr>
              <w:t>服务</w:t>
            </w:r>
            <w:r>
              <w:rPr>
                <w:rFonts w:hint="eastAsia" w:ascii="仿宋_GB2312" w:hAnsi="仿宋_GB2312" w:eastAsia="仿宋_GB2312" w:cs="仿宋_GB2312"/>
                <w:bCs/>
                <w:color w:val="000000"/>
                <w:sz w:val="21"/>
                <w:szCs w:val="21"/>
                <w:highlight w:val="none"/>
                <w:lang w:val="en-US" w:eastAsia="zh-CN"/>
              </w:rPr>
              <w:t>中小企业的</w:t>
            </w:r>
            <w:r>
              <w:rPr>
                <w:rFonts w:hint="eastAsia" w:ascii="仿宋_GB2312" w:hAnsi="仿宋_GB2312" w:eastAsia="仿宋_GB2312" w:cs="仿宋_GB2312"/>
                <w:bCs/>
                <w:color w:val="000000"/>
                <w:sz w:val="21"/>
                <w:szCs w:val="21"/>
                <w:highlight w:val="none"/>
              </w:rPr>
              <w:t>专业机构家（次）数</w:t>
            </w:r>
          </w:p>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color w:val="000000"/>
                <w:sz w:val="21"/>
                <w:szCs w:val="21"/>
                <w:highlight w:val="none"/>
              </w:rPr>
            </w:pP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snapToGrid w:val="0"/>
                <w:color w:val="000000"/>
                <w:kern w:val="0"/>
                <w:sz w:val="21"/>
                <w:szCs w:val="21"/>
                <w:highlight w:val="none"/>
                <w:lang w:eastAsia="zh-CN"/>
              </w:rPr>
              <w:t>1</w:t>
            </w:r>
            <w:r>
              <w:rPr>
                <w:rFonts w:hint="eastAsia" w:ascii="仿宋_GB2312" w:hAnsi="仿宋_GB2312" w:eastAsia="仿宋_GB2312" w:cs="仿宋_GB2312"/>
                <w:bCs/>
                <w:snapToGrid w:val="0"/>
                <w:color w:val="000000"/>
                <w:kern w:val="0"/>
                <w:sz w:val="21"/>
                <w:szCs w:val="21"/>
                <w:highlight w:val="none"/>
                <w:lang w:val="en-US" w:eastAsia="zh-CN"/>
              </w:rPr>
              <w:t>5</w:t>
            </w:r>
            <w:r>
              <w:rPr>
                <w:rStyle w:val="5"/>
                <w:rFonts w:hint="eastAsia" w:ascii="仿宋_GB2312" w:hAnsi="仿宋_GB2312" w:eastAsia="仿宋_GB2312" w:cs="仿宋_GB2312"/>
                <w:bCs/>
                <w:snapToGrid w:val="0"/>
                <w:color w:val="000000"/>
                <w:kern w:val="0"/>
                <w:sz w:val="21"/>
                <w:szCs w:val="21"/>
                <w:highlight w:val="none"/>
              </w:rPr>
              <w:t>家次</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lang w:eastAsia="zh-CN"/>
              </w:rPr>
              <w:t>3</w:t>
            </w:r>
            <w:r>
              <w:rPr>
                <w:rFonts w:hint="eastAsia" w:ascii="仿宋_GB2312" w:hAnsi="仿宋_GB2312" w:eastAsia="仿宋_GB2312" w:cs="仿宋_GB2312"/>
                <w:bCs/>
                <w:color w:val="000000"/>
                <w:sz w:val="21"/>
                <w:szCs w:val="21"/>
                <w:highlight w:val="none"/>
                <w:lang w:val="en-US" w:eastAsia="zh-CN"/>
              </w:rPr>
              <w:t>0</w:t>
            </w:r>
            <w:r>
              <w:rPr>
                <w:rFonts w:hint="eastAsia" w:ascii="仿宋_GB2312" w:hAnsi="仿宋_GB2312" w:eastAsia="仿宋_GB2312" w:cs="仿宋_GB2312"/>
                <w:bCs/>
                <w:color w:val="000000"/>
                <w:sz w:val="21"/>
                <w:szCs w:val="21"/>
                <w:highlight w:val="none"/>
              </w:rPr>
              <w:t>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获得计算机软件著作权</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2项</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“政企通”系统访问次数</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500次</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利用信披系统协助企业完成年报披露</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100家</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2"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restart"/>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质量指标</w:t>
            </w: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rPr>
              <w:t>区域性股权市场挂牌企业质量</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lang w:val="en-US" w:eastAsia="zh-CN"/>
              </w:rPr>
              <w:t>提升</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0"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rPr>
              <w:t>板块服务能力</w:t>
            </w:r>
            <w:r>
              <w:rPr>
                <w:rFonts w:hint="eastAsia" w:ascii="仿宋_GB2312" w:hAnsi="仿宋_GB2312" w:eastAsia="仿宋_GB2312" w:cs="仿宋_GB2312"/>
                <w:bCs/>
                <w:color w:val="000000"/>
                <w:sz w:val="21"/>
                <w:szCs w:val="21"/>
                <w:highlight w:val="none"/>
                <w:lang w:val="en-US" w:eastAsia="zh-CN"/>
              </w:rPr>
              <w:t>及</w:t>
            </w:r>
            <w:r>
              <w:rPr>
                <w:rFonts w:hint="eastAsia" w:ascii="仿宋_GB2312" w:hAnsi="仿宋_GB2312" w:eastAsia="仿宋_GB2312" w:cs="仿宋_GB2312"/>
                <w:bCs/>
                <w:color w:val="000000"/>
                <w:sz w:val="21"/>
                <w:szCs w:val="21"/>
                <w:highlight w:val="none"/>
              </w:rPr>
              <w:t>发展质量</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lang w:val="en-US" w:eastAsia="zh-CN"/>
              </w:rPr>
              <w:t>提升</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7"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2268"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rPr>
              <w:t>区域性股权市场综合金融服务效果</w:t>
            </w:r>
          </w:p>
        </w:tc>
        <w:tc>
          <w:tcPr>
            <w:tcW w:w="1337"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lang w:val="en-US" w:eastAsia="zh-CN"/>
              </w:rPr>
              <w:t>提升</w:t>
            </w:r>
          </w:p>
        </w:tc>
        <w:tc>
          <w:tcPr>
            <w:tcW w:w="2801" w:type="dxa"/>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highlight w:val="none"/>
                <w:lang w:val="en-US" w:eastAsia="zh-CN" w:bidi="ar-SA"/>
              </w:rPr>
            </w:pPr>
            <w:r>
              <w:rPr>
                <w:rFonts w:hint="eastAsia" w:ascii="仿宋_GB2312" w:hAnsi="仿宋_GB2312" w:eastAsia="仿宋_GB2312" w:cs="仿宋_GB2312"/>
                <w:bCs/>
                <w:color w:val="000000"/>
                <w:sz w:val="21"/>
                <w:szCs w:val="21"/>
                <w:highlight w:val="none"/>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1276" w:type="dxa"/>
            <w:vMerge w:val="restart"/>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效益指标</w:t>
            </w:r>
          </w:p>
        </w:tc>
        <w:tc>
          <w:tcPr>
            <w:tcW w:w="1716" w:type="dxa"/>
            <w:vMerge w:val="restart"/>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snapToGrid/>
                <w:color w:val="000000"/>
                <w:kern w:val="2"/>
                <w:sz w:val="21"/>
                <w:szCs w:val="21"/>
                <w:highlight w:val="none"/>
                <w:lang w:val="en-US" w:eastAsia="zh-CN"/>
              </w:rPr>
            </w:pPr>
            <w:r>
              <w:rPr>
                <w:rFonts w:hint="eastAsia" w:ascii="仿宋_GB2312" w:hAnsi="仿宋_GB2312" w:eastAsia="仿宋_GB2312" w:cs="仿宋_GB2312"/>
                <w:snapToGrid/>
                <w:color w:val="000000"/>
                <w:kern w:val="2"/>
                <w:sz w:val="21"/>
                <w:szCs w:val="21"/>
                <w:highlight w:val="none"/>
                <w:lang w:val="en-US" w:eastAsia="zh-CN"/>
              </w:rPr>
              <w:t>经济及社会效益指标</w:t>
            </w:r>
          </w:p>
        </w:tc>
        <w:tc>
          <w:tcPr>
            <w:tcW w:w="2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提高资本市场服务中小企业覆盖面</w:t>
            </w:r>
          </w:p>
        </w:tc>
        <w:tc>
          <w:tcPr>
            <w:tcW w:w="413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力争实现新增上板企业数</w:t>
            </w:r>
            <w:r>
              <w:rPr>
                <w:rFonts w:hint="eastAsia" w:ascii="仿宋_GB2312" w:hAnsi="仿宋_GB2312" w:eastAsia="仿宋_GB2312" w:cs="仿宋_GB2312"/>
                <w:color w:val="000000"/>
                <w:sz w:val="21"/>
                <w:szCs w:val="21"/>
                <w:highlight w:val="none"/>
              </w:rPr>
              <w:t>（含挂牌、注册展示及托管企业）800家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8" w:hRule="atLeast"/>
          <w:jc w:val="center"/>
        </w:trPr>
        <w:tc>
          <w:tcPr>
            <w:tcW w:w="127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bCs/>
                <w:color w:val="000000"/>
                <w:sz w:val="21"/>
                <w:szCs w:val="21"/>
                <w:highlight w:val="none"/>
              </w:rPr>
            </w:pPr>
          </w:p>
        </w:tc>
        <w:tc>
          <w:tcPr>
            <w:tcW w:w="1716" w:type="dxa"/>
            <w:vMerge w:val="continue"/>
            <w:noWrap w:val="0"/>
            <w:vAlign w:val="center"/>
          </w:tcPr>
          <w:p>
            <w:pPr>
              <w:pStyle w:val="6"/>
              <w:keepNext w:val="0"/>
              <w:keepLines w:val="0"/>
              <w:pageBreakBefore w:val="0"/>
              <w:widowControl w:val="0"/>
              <w:kinsoku/>
              <w:wordWrap/>
              <w:overflowPunct/>
              <w:topLinePunct w:val="0"/>
              <w:bidi w:val="0"/>
              <w:spacing w:line="320" w:lineRule="exact"/>
              <w:ind w:firstLine="0" w:firstLineChars="0"/>
              <w:jc w:val="center"/>
              <w:textAlignment w:val="auto"/>
              <w:rPr>
                <w:rFonts w:hint="eastAsia" w:ascii="仿宋_GB2312" w:hAnsi="仿宋_GB2312" w:eastAsia="仿宋_GB2312" w:cs="仿宋_GB2312"/>
                <w:snapToGrid/>
                <w:color w:val="000000"/>
                <w:kern w:val="2"/>
                <w:sz w:val="21"/>
                <w:szCs w:val="21"/>
                <w:highlight w:val="none"/>
                <w:lang w:val="en-US" w:eastAsia="zh-CN"/>
              </w:rPr>
            </w:pPr>
          </w:p>
        </w:tc>
        <w:tc>
          <w:tcPr>
            <w:tcW w:w="2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缓解中小企业融资难题</w:t>
            </w:r>
          </w:p>
        </w:tc>
        <w:tc>
          <w:tcPr>
            <w:tcW w:w="413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力争</w:t>
            </w:r>
            <w:r>
              <w:rPr>
                <w:rFonts w:hint="eastAsia" w:ascii="仿宋_GB2312" w:hAnsi="仿宋_GB2312" w:eastAsia="仿宋_GB2312" w:cs="仿宋_GB2312"/>
                <w:color w:val="000000"/>
                <w:sz w:val="21"/>
                <w:szCs w:val="21"/>
                <w:highlight w:val="none"/>
              </w:rPr>
              <w:t>新增各类融资</w:t>
            </w:r>
            <w:r>
              <w:rPr>
                <w:rFonts w:hint="eastAsia" w:ascii="仿宋_GB2312" w:hAnsi="仿宋_GB2312" w:eastAsia="仿宋_GB2312" w:cs="仿宋_GB2312"/>
                <w:color w:val="000000"/>
                <w:sz w:val="21"/>
                <w:szCs w:val="21"/>
                <w:highlight w:val="none"/>
                <w:lang w:val="en-US" w:eastAsia="zh-CN"/>
              </w:rPr>
              <w:t>交易</w:t>
            </w:r>
            <w:r>
              <w:rPr>
                <w:rFonts w:hint="eastAsia" w:ascii="仿宋_GB2312" w:hAnsi="仿宋_GB2312" w:eastAsia="仿宋_GB2312" w:cs="仿宋_GB2312"/>
                <w:color w:val="000000"/>
                <w:sz w:val="21"/>
                <w:szCs w:val="21"/>
                <w:highlight w:val="none"/>
              </w:rPr>
              <w:t>200亿元</w:t>
            </w:r>
          </w:p>
        </w:tc>
      </w:tr>
    </w:tbl>
    <w:p>
      <w:pPr>
        <w:pageBreakBefore w:val="0"/>
        <w:widowControl/>
        <w:kinsoku/>
        <w:wordWrap/>
        <w:overflowPunct/>
        <w:topLinePunct w:val="0"/>
        <w:bidi w:val="0"/>
        <w:spacing w:line="240" w:lineRule="auto"/>
        <w:textAlignment w:val="center"/>
        <w:rPr>
          <w:rFonts w:hint="eastAsia" w:ascii="仿宋_GB2312" w:hAnsi="仿宋_GB2312" w:eastAsia="仿宋_GB2312" w:cs="仿宋_GB2312"/>
          <w:bCs/>
          <w:snapToGrid w:val="0"/>
          <w:color w:val="000000"/>
          <w:kern w:val="0"/>
          <w:sz w:val="28"/>
          <w:szCs w:val="28"/>
          <w:highlight w:val="none"/>
          <w:lang w:val="en-US" w:eastAsia="zh-CN" w:bidi="ar-SA"/>
        </w:rPr>
      </w:pPr>
    </w:p>
    <w:p>
      <w:pPr>
        <w:pStyle w:val="2"/>
        <w:rPr>
          <w:rFonts w:hint="eastAsia"/>
          <w:color w:val="000000"/>
          <w:lang w:val="en-US" w:eastAsia="zh-CN"/>
        </w:rPr>
        <w:sectPr>
          <w:pgSz w:w="11906" w:h="16838"/>
          <w:pgMar w:top="1440" w:right="1800" w:bottom="1440" w:left="1800" w:header="851" w:footer="992" w:gutter="0"/>
          <w:pgNumType w:fmt="numberInDash"/>
          <w:cols w:space="720" w:num="1"/>
          <w:docGrid w:type="lines" w:linePitch="312" w:charSpace="0"/>
        </w:sectPr>
      </w:pPr>
    </w:p>
    <w:p>
      <w:pPr>
        <w:pageBreakBefore w:val="0"/>
        <w:widowControl w:val="0"/>
        <w:numPr>
          <w:ilvl w:val="0"/>
          <w:numId w:val="1"/>
        </w:numPr>
        <w:kinsoku/>
        <w:wordWrap/>
        <w:overflowPunct/>
        <w:topLinePunct w:val="0"/>
        <w:autoSpaceDE w:val="0"/>
        <w:autoSpaceDN w:val="0"/>
        <w:bidi w:val="0"/>
        <w:adjustRightInd w:val="0"/>
        <w:snapToGrid/>
        <w:spacing w:line="240" w:lineRule="auto"/>
        <w:ind w:left="0" w:leftChars="0" w:firstLine="0" w:firstLineChars="0"/>
        <w:contextualSpacing/>
        <w:jc w:val="both"/>
        <w:outlineLvl w:val="0"/>
        <w:rPr>
          <w:rFonts w:hint="eastAsia" w:ascii="Calibri" w:hAnsi="Calibri" w:eastAsia="仿宋_GB2312" w:cs="Times New Roman"/>
          <w:bCs/>
          <w:color w:val="000000"/>
          <w:kern w:val="0"/>
          <w:sz w:val="28"/>
          <w:szCs w:val="28"/>
          <w:lang w:val="en-US" w:eastAsia="zh-CN" w:bidi="ar-SA"/>
        </w:rPr>
      </w:pPr>
      <w:r>
        <w:rPr>
          <w:rFonts w:hint="eastAsia" w:ascii="Calibri" w:hAnsi="Calibri" w:eastAsia="仿宋_GB2312" w:cs="Times New Roman"/>
          <w:bCs/>
          <w:color w:val="000000"/>
          <w:kern w:val="0"/>
          <w:sz w:val="28"/>
          <w:szCs w:val="28"/>
          <w:lang w:val="en-US" w:eastAsia="zh-CN" w:bidi="ar-SA"/>
        </w:rPr>
        <w:t>广东省地方金融资产类交易系统项目</w:t>
      </w:r>
    </w:p>
    <w:tbl>
      <w:tblPr>
        <w:tblStyle w:val="4"/>
        <w:tblW w:w="9071" w:type="dxa"/>
        <w:tblInd w:w="0" w:type="dxa"/>
        <w:tblLayout w:type="fixed"/>
        <w:tblCellMar>
          <w:top w:w="15" w:type="dxa"/>
          <w:left w:w="15" w:type="dxa"/>
          <w:bottom w:w="15" w:type="dxa"/>
          <w:right w:w="15" w:type="dxa"/>
        </w:tblCellMar>
      </w:tblPr>
      <w:tblGrid>
        <w:gridCol w:w="1276"/>
        <w:gridCol w:w="1716"/>
        <w:gridCol w:w="2268"/>
        <w:gridCol w:w="1843"/>
        <w:gridCol w:w="1968"/>
      </w:tblGrid>
      <w:tr>
        <w:tblPrEx>
          <w:tblCellMar>
            <w:top w:w="15" w:type="dxa"/>
            <w:left w:w="15" w:type="dxa"/>
            <w:bottom w:w="15" w:type="dxa"/>
            <w:right w:w="15" w:type="dxa"/>
          </w:tblCellMar>
        </w:tblPrEx>
        <w:trPr>
          <w:trHeight w:val="540" w:hRule="atLeast"/>
        </w:trPr>
        <w:tc>
          <w:tcPr>
            <w:tcW w:w="9071"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ascii="方正小标宋简体" w:hAnsi="方正小标宋简体" w:eastAsia="方正小标宋简体" w:cs="方正小标宋简体"/>
                <w:bCs/>
                <w:snapToGrid w:val="0"/>
                <w:color w:val="000000"/>
                <w:kern w:val="0"/>
                <w:sz w:val="36"/>
                <w:szCs w:val="36"/>
                <w:lang w:val="en-US" w:eastAsia="zh-CN" w:bidi="ar-SA"/>
              </w:rPr>
            </w:pPr>
            <w:r>
              <w:rPr>
                <w:rFonts w:hint="eastAsia" w:ascii="方正小标宋简体" w:hAnsi="方正小标宋简体" w:eastAsia="方正小标宋简体" w:cs="方正小标宋简体"/>
                <w:bCs/>
                <w:snapToGrid w:val="0"/>
                <w:color w:val="000000"/>
                <w:kern w:val="0"/>
                <w:sz w:val="36"/>
                <w:szCs w:val="36"/>
                <w:lang w:val="en-US" w:eastAsia="zh-CN" w:bidi="ar-SA"/>
              </w:rPr>
              <w:t>广东省促进经济高质量发展专项资金（金融发展）</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ascii="方正小标宋简体" w:hAnsi="方正小标宋简体" w:eastAsia="方正小标宋简体" w:cs="方正小标宋简体"/>
                <w:bCs/>
                <w:snapToGrid w:val="0"/>
                <w:color w:val="000000"/>
                <w:kern w:val="0"/>
                <w:sz w:val="36"/>
                <w:szCs w:val="36"/>
                <w:lang w:val="en-US" w:eastAsia="zh-CN" w:bidi="ar-SA"/>
              </w:rPr>
            </w:pPr>
            <w:r>
              <w:rPr>
                <w:rFonts w:hint="eastAsia" w:ascii="方正小标宋简体" w:hAnsi="方正小标宋简体" w:eastAsia="方正小标宋简体" w:cs="方正小标宋简体"/>
                <w:bCs/>
                <w:snapToGrid w:val="0"/>
                <w:color w:val="000000"/>
                <w:kern w:val="0"/>
                <w:sz w:val="36"/>
                <w:szCs w:val="36"/>
                <w:lang w:val="en-US" w:eastAsia="zh-CN" w:bidi="ar-SA"/>
              </w:rPr>
              <w:t>绩效目标申报表</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ascii="Calibri" w:hAnsi="Calibri" w:eastAsia="仿宋_GB2312" w:cs="Times New Roman"/>
                <w:bCs/>
                <w:snapToGrid w:val="0"/>
                <w:color w:val="000000"/>
                <w:kern w:val="0"/>
                <w:sz w:val="36"/>
                <w:szCs w:val="36"/>
                <w:lang w:val="en-US" w:eastAsia="zh-CN" w:bidi="ar-SA"/>
              </w:rPr>
            </w:pPr>
            <w:r>
              <w:rPr>
                <w:rFonts w:hint="eastAsia" w:ascii="楷体_GB2312" w:hAnsi="Calibri" w:eastAsia="楷体_GB2312" w:cs="Times New Roman"/>
                <w:bCs/>
                <w:snapToGrid w:val="0"/>
                <w:color w:val="000000"/>
                <w:kern w:val="0"/>
                <w:sz w:val="30"/>
                <w:szCs w:val="30"/>
                <w:lang w:val="en-US" w:eastAsia="zh-CN" w:bidi="ar-SA"/>
              </w:rPr>
              <w:t>（2023</w:t>
            </w:r>
            <w:r>
              <w:rPr>
                <w:rFonts w:ascii="楷体_GB2312" w:hAnsi="Calibri" w:eastAsia="楷体_GB2312" w:cs="Times New Roman"/>
                <w:bCs/>
                <w:snapToGrid w:val="0"/>
                <w:color w:val="000000"/>
                <w:kern w:val="0"/>
                <w:sz w:val="30"/>
                <w:szCs w:val="30"/>
                <w:lang w:val="en-US" w:eastAsia="zh-CN" w:bidi="ar-SA"/>
              </w:rPr>
              <w:t>年</w:t>
            </w:r>
            <w:r>
              <w:rPr>
                <w:rFonts w:hint="eastAsia" w:ascii="楷体_GB2312" w:hAnsi="Calibri" w:eastAsia="楷体_GB2312" w:cs="Times New Roman"/>
                <w:bCs/>
                <w:snapToGrid w:val="0"/>
                <w:color w:val="000000"/>
                <w:kern w:val="0"/>
                <w:sz w:val="30"/>
                <w:szCs w:val="30"/>
                <w:lang w:val="en-US" w:eastAsia="zh-CN" w:bidi="ar-SA"/>
              </w:rPr>
              <w:t>）</w:t>
            </w:r>
          </w:p>
        </w:tc>
      </w:tr>
      <w:tr>
        <w:tblPrEx>
          <w:tblCellMar>
            <w:top w:w="15" w:type="dxa"/>
            <w:left w:w="15" w:type="dxa"/>
            <w:bottom w:w="15" w:type="dxa"/>
            <w:right w:w="15" w:type="dxa"/>
          </w:tblCellMar>
        </w:tblPrEx>
        <w:trPr>
          <w:trHeight w:val="639" w:hRule="atLeast"/>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申报单位</w:t>
            </w:r>
          </w:p>
        </w:tc>
        <w:tc>
          <w:tcPr>
            <w:tcW w:w="779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广东金融资产交易中心股份有限公司</w:t>
            </w:r>
          </w:p>
        </w:tc>
      </w:tr>
      <w:tr>
        <w:tblPrEx>
          <w:tblCellMar>
            <w:top w:w="15" w:type="dxa"/>
            <w:left w:w="15" w:type="dxa"/>
            <w:bottom w:w="15" w:type="dxa"/>
            <w:right w:w="15" w:type="dxa"/>
          </w:tblCellMar>
        </w:tblPrEx>
        <w:trPr>
          <w:trHeight w:val="639" w:hRule="atLeast"/>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申报金额</w:t>
            </w:r>
          </w:p>
        </w:tc>
        <w:tc>
          <w:tcPr>
            <w:tcW w:w="779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180万元</w:t>
            </w:r>
          </w:p>
        </w:tc>
      </w:tr>
      <w:tr>
        <w:tblPrEx>
          <w:tblCellMar>
            <w:top w:w="15" w:type="dxa"/>
            <w:left w:w="15" w:type="dxa"/>
            <w:bottom w:w="15" w:type="dxa"/>
            <w:right w:w="15" w:type="dxa"/>
          </w:tblCellMar>
        </w:tblPrEx>
        <w:trPr>
          <w:trHeight w:val="767" w:hRule="atLeast"/>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年度目标</w:t>
            </w:r>
          </w:p>
        </w:tc>
        <w:tc>
          <w:tcPr>
            <w:tcW w:w="779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w:t>
            </w:r>
            <w:r>
              <w:rPr>
                <w:rFonts w:hint="eastAsia" w:ascii="仿宋_GB2312" w:hAnsi="仿宋_GB2312" w:eastAsia="仿宋_GB2312" w:cs="仿宋_GB2312"/>
                <w:snapToGrid w:val="0"/>
                <w:color w:val="000000"/>
                <w:kern w:val="0"/>
                <w:sz w:val="21"/>
                <w:szCs w:val="21"/>
                <w:lang w:val="en-US" w:eastAsia="zh-CN" w:bidi="ar-SA"/>
              </w:rPr>
              <w:t>依据《广东省交易场所监督管理办法》要求搭建省级金融资产类交易系统；</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2.</w:t>
            </w:r>
            <w:r>
              <w:rPr>
                <w:rFonts w:hint="eastAsia" w:ascii="仿宋_GB2312" w:hAnsi="仿宋_GB2312" w:eastAsia="仿宋_GB2312" w:cs="仿宋_GB2312"/>
                <w:snapToGrid w:val="0"/>
                <w:color w:val="000000"/>
                <w:kern w:val="0"/>
                <w:sz w:val="21"/>
                <w:szCs w:val="21"/>
                <w:lang w:val="en-US" w:eastAsia="zh-CN" w:bidi="ar-SA"/>
              </w:rPr>
              <w:t>建设安全、可靠、高效的（跨境）金融资产类电子化交易系统；</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3.</w:t>
            </w:r>
            <w:r>
              <w:rPr>
                <w:rFonts w:hint="eastAsia" w:ascii="仿宋_GB2312" w:hAnsi="仿宋_GB2312" w:eastAsia="仿宋_GB2312" w:cs="仿宋_GB2312"/>
                <w:snapToGrid w:val="0"/>
                <w:color w:val="000000"/>
                <w:kern w:val="0"/>
                <w:sz w:val="21"/>
                <w:szCs w:val="21"/>
                <w:lang w:val="en-US" w:eastAsia="zh-CN" w:bidi="ar-SA"/>
              </w:rPr>
              <w:t>借助外部权威数据平台，提升金融资产类交易活跃度。</w:t>
            </w:r>
          </w:p>
        </w:tc>
      </w:tr>
      <w:tr>
        <w:tblPrEx>
          <w:tblCellMar>
            <w:top w:w="15" w:type="dxa"/>
            <w:left w:w="15" w:type="dxa"/>
            <w:bottom w:w="15" w:type="dxa"/>
            <w:right w:w="15" w:type="dxa"/>
          </w:tblCellMar>
        </w:tblPrEx>
        <w:trPr>
          <w:trHeight w:val="807" w:hRule="atLeast"/>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阶段目标</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（6月底前）</w:t>
            </w:r>
          </w:p>
        </w:tc>
        <w:tc>
          <w:tcPr>
            <w:tcW w:w="779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w:t>
            </w:r>
            <w:r>
              <w:rPr>
                <w:rFonts w:hint="eastAsia" w:ascii="仿宋_GB2312" w:hAnsi="仿宋_GB2312" w:eastAsia="仿宋_GB2312" w:cs="仿宋_GB2312"/>
                <w:snapToGrid w:val="0"/>
                <w:color w:val="000000"/>
                <w:kern w:val="0"/>
                <w:sz w:val="21"/>
                <w:szCs w:val="21"/>
                <w:lang w:val="en-US" w:eastAsia="zh-CN" w:bidi="ar-SA"/>
              </w:rPr>
              <w:t>依据《广东省交易场所监督管理办法》要求搭建省级金融资产类交易系统；</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2.</w:t>
            </w:r>
            <w:r>
              <w:rPr>
                <w:rFonts w:hint="eastAsia" w:ascii="仿宋_GB2312" w:hAnsi="仿宋_GB2312" w:eastAsia="仿宋_GB2312" w:cs="仿宋_GB2312"/>
                <w:snapToGrid w:val="0"/>
                <w:color w:val="000000"/>
                <w:kern w:val="0"/>
                <w:sz w:val="21"/>
                <w:szCs w:val="21"/>
                <w:lang w:val="en-US" w:eastAsia="zh-CN" w:bidi="ar-SA"/>
              </w:rPr>
              <w:t>建设安全、可靠、高效的金融资产类电子化交易系统。</w:t>
            </w:r>
          </w:p>
        </w:tc>
      </w:tr>
      <w:tr>
        <w:tblPrEx>
          <w:tblCellMar>
            <w:top w:w="15" w:type="dxa"/>
            <w:left w:w="15" w:type="dxa"/>
            <w:bottom w:w="15" w:type="dxa"/>
            <w:right w:w="15" w:type="dxa"/>
          </w:tblCellMar>
        </w:tblPrEx>
        <w:trPr>
          <w:trHeight w:val="581" w:hRule="atLeast"/>
        </w:trPr>
        <w:tc>
          <w:tcPr>
            <w:tcW w:w="29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目标</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指标内容及口径</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阶段目标</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年度目标</w:t>
            </w:r>
          </w:p>
        </w:tc>
      </w:tr>
      <w:tr>
        <w:tblPrEx>
          <w:tblCellMar>
            <w:top w:w="15" w:type="dxa"/>
            <w:left w:w="15" w:type="dxa"/>
            <w:bottom w:w="15" w:type="dxa"/>
            <w:right w:w="15" w:type="dxa"/>
          </w:tblCellMar>
        </w:tblPrEx>
        <w:trPr>
          <w:trHeight w:val="559" w:hRule="atLeast"/>
        </w:trPr>
        <w:tc>
          <w:tcPr>
            <w:tcW w:w="127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产出</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指标</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数量指标</w:t>
            </w:r>
          </w:p>
        </w:tc>
        <w:tc>
          <w:tcPr>
            <w:tcW w:w="226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系统建设完成率</w:t>
            </w:r>
          </w:p>
        </w:tc>
        <w:tc>
          <w:tcPr>
            <w:tcW w:w="184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r>
      <w:tr>
        <w:tblPrEx>
          <w:tblCellMar>
            <w:top w:w="15" w:type="dxa"/>
            <w:left w:w="15" w:type="dxa"/>
            <w:bottom w:w="15" w:type="dxa"/>
            <w:right w:w="15" w:type="dxa"/>
          </w:tblCellMar>
        </w:tblPrEx>
        <w:trPr>
          <w:trHeight w:val="455" w:hRule="atLeast"/>
        </w:trPr>
        <w:tc>
          <w:tcPr>
            <w:tcW w:w="127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质量指标</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系统验收合格率</w:t>
            </w:r>
          </w:p>
        </w:tc>
        <w:tc>
          <w:tcPr>
            <w:tcW w:w="184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r>
      <w:tr>
        <w:tblPrEx>
          <w:tblCellMar>
            <w:top w:w="15" w:type="dxa"/>
            <w:left w:w="15" w:type="dxa"/>
            <w:bottom w:w="15" w:type="dxa"/>
            <w:right w:w="15" w:type="dxa"/>
          </w:tblCellMar>
        </w:tblPrEx>
        <w:trPr>
          <w:trHeight w:val="507" w:hRule="atLeast"/>
        </w:trPr>
        <w:tc>
          <w:tcPr>
            <w:tcW w:w="127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时效指标</w:t>
            </w:r>
          </w:p>
        </w:tc>
        <w:tc>
          <w:tcPr>
            <w:tcW w:w="226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系统按期完成率</w:t>
            </w:r>
          </w:p>
        </w:tc>
        <w:tc>
          <w:tcPr>
            <w:tcW w:w="184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r>
      <w:tr>
        <w:tblPrEx>
          <w:tblCellMar>
            <w:top w:w="15" w:type="dxa"/>
            <w:left w:w="15" w:type="dxa"/>
            <w:bottom w:w="15" w:type="dxa"/>
            <w:right w:w="15" w:type="dxa"/>
          </w:tblCellMar>
        </w:tblPrEx>
        <w:trPr>
          <w:trHeight w:val="417" w:hRule="atLeast"/>
        </w:trPr>
        <w:tc>
          <w:tcPr>
            <w:tcW w:w="127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成本指标</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实际已投入成本/180*100%</w:t>
            </w:r>
          </w:p>
        </w:tc>
        <w:tc>
          <w:tcPr>
            <w:tcW w:w="1843" w:type="dxa"/>
            <w:tcBorders>
              <w:top w:val="single" w:color="000000"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r>
      <w:tr>
        <w:tblPrEx>
          <w:tblCellMar>
            <w:top w:w="15" w:type="dxa"/>
            <w:left w:w="15" w:type="dxa"/>
            <w:bottom w:w="15" w:type="dxa"/>
            <w:right w:w="15" w:type="dxa"/>
          </w:tblCellMar>
        </w:tblPrEx>
        <w:trPr>
          <w:trHeight w:val="585" w:hRule="atLeast"/>
        </w:trPr>
        <w:tc>
          <w:tcPr>
            <w:tcW w:w="127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效益</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指标</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经济效益</w:t>
            </w:r>
          </w:p>
        </w:tc>
        <w:tc>
          <w:tcPr>
            <w:tcW w:w="2268" w:type="dxa"/>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交易量</w:t>
            </w:r>
          </w:p>
        </w:tc>
        <w:tc>
          <w:tcPr>
            <w:tcW w:w="184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2023年6月，50亿</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210" w:firstLineChars="10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100亿</w:t>
            </w:r>
          </w:p>
        </w:tc>
      </w:tr>
      <w:tr>
        <w:tblPrEx>
          <w:tblCellMar>
            <w:top w:w="15" w:type="dxa"/>
            <w:left w:w="15" w:type="dxa"/>
            <w:bottom w:w="15" w:type="dxa"/>
            <w:right w:w="15" w:type="dxa"/>
          </w:tblCellMar>
        </w:tblPrEx>
        <w:trPr>
          <w:trHeight w:val="555" w:hRule="atLeast"/>
        </w:trPr>
        <w:tc>
          <w:tcPr>
            <w:tcW w:w="127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社会效益</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广东金交作为省级金融基础设施平台影响力</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有所提升</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金融资产交易平台作用彰显</w:t>
            </w:r>
          </w:p>
        </w:tc>
      </w:tr>
      <w:tr>
        <w:tblPrEx>
          <w:tblCellMar>
            <w:top w:w="15" w:type="dxa"/>
            <w:left w:w="15" w:type="dxa"/>
            <w:bottom w:w="15" w:type="dxa"/>
            <w:right w:w="15" w:type="dxa"/>
          </w:tblCellMar>
        </w:tblPrEx>
        <w:trPr>
          <w:trHeight w:val="555" w:hRule="atLeast"/>
        </w:trPr>
        <w:tc>
          <w:tcPr>
            <w:tcW w:w="127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可持续发展</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后续投入成本/首期投入成本是否高于20%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r>
      <w:tr>
        <w:tblPrEx>
          <w:tblCellMar>
            <w:top w:w="15" w:type="dxa"/>
            <w:left w:w="15" w:type="dxa"/>
            <w:bottom w:w="15" w:type="dxa"/>
            <w:right w:w="15" w:type="dxa"/>
          </w:tblCellMar>
        </w:tblPrEx>
        <w:trPr>
          <w:trHeight w:val="555" w:hRule="atLeast"/>
        </w:trPr>
        <w:tc>
          <w:tcPr>
            <w:tcW w:w="127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满意度</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服务对象数量</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在平台参与交易的业务渠道</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50</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r>
      <w:tr>
        <w:tblPrEx>
          <w:tblCellMar>
            <w:top w:w="15" w:type="dxa"/>
            <w:left w:w="15" w:type="dxa"/>
            <w:bottom w:w="15" w:type="dxa"/>
            <w:right w:w="15" w:type="dxa"/>
          </w:tblCellMar>
        </w:tblPrEx>
        <w:trPr>
          <w:trHeight w:val="555" w:hRule="atLeast"/>
        </w:trPr>
        <w:tc>
          <w:tcPr>
            <w:tcW w:w="127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满意度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用户满意率</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100%</w:t>
            </w:r>
          </w:p>
        </w:tc>
      </w:tr>
    </w:tbl>
    <w:p>
      <w:pPr>
        <w:pStyle w:val="2"/>
        <w:rPr>
          <w:rFonts w:hint="eastAsia"/>
          <w:color w:val="000000"/>
          <w:lang w:val="en-US" w:eastAsia="zh-CN"/>
        </w:rPr>
        <w:sectPr>
          <w:pgSz w:w="11906" w:h="16838"/>
          <w:pgMar w:top="1440" w:right="1440" w:bottom="1440" w:left="1440" w:header="851" w:footer="992" w:gutter="0"/>
          <w:pgNumType w:fmt="numberInDash"/>
          <w:cols w:space="720" w:num="1"/>
          <w:docGrid w:type="lines" w:linePitch="322" w:charSpace="0"/>
        </w:sectPr>
      </w:pPr>
    </w:p>
    <w:p>
      <w:pPr>
        <w:pStyle w:val="3"/>
        <w:keepNext/>
        <w:keepLines/>
        <w:numPr>
          <w:ilvl w:val="0"/>
          <w:numId w:val="1"/>
        </w:numPr>
        <w:spacing w:before="0" w:beforeAutospacing="0" w:after="0" w:afterAutospacing="0" w:line="560" w:lineRule="exact"/>
        <w:ind w:left="0" w:leftChars="0" w:firstLine="0" w:firstLineChars="0"/>
        <w:jc w:val="left"/>
        <w:rPr>
          <w:rFonts w:hint="default" w:ascii="Calibri" w:hAnsi="Calibri" w:eastAsia="仿宋_GB2312" w:cs="Times New Roman"/>
          <w:b w:val="0"/>
          <w:bCs/>
          <w:color w:val="000000"/>
          <w:kern w:val="0"/>
          <w:sz w:val="28"/>
          <w:szCs w:val="28"/>
          <w:lang w:val="en-US" w:eastAsia="zh-CN" w:bidi="ar-SA"/>
        </w:rPr>
      </w:pPr>
      <w:r>
        <w:rPr>
          <w:rFonts w:hint="default" w:ascii="Calibri" w:hAnsi="Calibri" w:eastAsia="仿宋_GB2312" w:cs="Times New Roman"/>
          <w:b w:val="0"/>
          <w:bCs/>
          <w:color w:val="000000"/>
          <w:kern w:val="0"/>
          <w:sz w:val="28"/>
          <w:szCs w:val="28"/>
          <w:lang w:val="en-US" w:eastAsia="zh-CN" w:bidi="ar-SA"/>
        </w:rPr>
        <w:t>支持广东数字金融创新产业园建设，打造“数字金融+产业”生态合作平台项目</w:t>
      </w:r>
      <w:bookmarkStart w:id="2" w:name="_Toc115334035"/>
      <w:bookmarkStart w:id="3" w:name="_Toc116119646"/>
      <w:bookmarkStart w:id="4" w:name="_Toc117780847"/>
      <w:bookmarkStart w:id="5" w:name="_Toc106799289"/>
      <w:bookmarkStart w:id="6" w:name="_Toc106798292"/>
      <w:bookmarkStart w:id="7" w:name="_Toc106889914"/>
      <w:bookmarkStart w:id="8" w:name="_Toc106809904"/>
      <w:bookmarkStart w:id="9" w:name="_Toc106798001"/>
      <w:bookmarkStart w:id="10" w:name="_Toc106784661"/>
      <w:bookmarkStart w:id="11" w:name="_Toc106830124"/>
      <w:bookmarkStart w:id="12" w:name="_Toc106799331"/>
      <w:bookmarkStart w:id="13" w:name="_Toc106783578"/>
      <w:bookmarkStart w:id="14" w:name="_Toc106784289"/>
      <w:bookmarkStart w:id="15" w:name="_Toc106830314"/>
      <w:bookmarkStart w:id="16" w:name="_Toc106784251"/>
      <w:bookmarkStart w:id="17" w:name="_Toc106799248"/>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hint="default" w:ascii="方正小标宋简体" w:hAnsi="方正小标宋简体" w:eastAsia="方正小标宋简体" w:cs="方正小标宋简体"/>
          <w:bCs/>
          <w:snapToGrid w:val="0"/>
          <w:color w:val="000000"/>
          <w:kern w:val="0"/>
          <w:sz w:val="36"/>
          <w:szCs w:val="36"/>
          <w:lang w:val="en-US" w:eastAsia="zh-CN" w:bidi="ar-SA"/>
        </w:rPr>
      </w:pPr>
      <w:r>
        <w:rPr>
          <w:rFonts w:hint="eastAsia" w:ascii="方正小标宋简体" w:hAnsi="方正小标宋简体" w:eastAsia="方正小标宋简体" w:cs="方正小标宋简体"/>
          <w:bCs/>
          <w:snapToGrid w:val="0"/>
          <w:color w:val="000000"/>
          <w:kern w:val="0"/>
          <w:sz w:val="36"/>
          <w:szCs w:val="36"/>
          <w:lang w:val="en-US" w:eastAsia="zh-CN" w:bidi="ar-SA"/>
        </w:rPr>
        <w:t>广东省促进经济高质量发展专项资金（金融发展）</w:t>
      </w:r>
      <w:bookmarkEnd w:id="2"/>
      <w:bookmarkEnd w:id="3"/>
      <w:bookmarkEnd w:id="4"/>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hint="eastAsia" w:ascii="方正小标宋简体" w:hAnsi="方正小标宋简体" w:eastAsia="方正小标宋简体" w:cs="方正小标宋简体"/>
          <w:bCs/>
          <w:snapToGrid w:val="0"/>
          <w:color w:val="000000"/>
          <w:kern w:val="0"/>
          <w:sz w:val="36"/>
          <w:szCs w:val="36"/>
          <w:lang w:val="en-US" w:eastAsia="zh-CN" w:bidi="ar-SA"/>
        </w:rPr>
      </w:pPr>
      <w:bookmarkStart w:id="18" w:name="_Toc117780848"/>
      <w:bookmarkStart w:id="19" w:name="_Toc116119647"/>
      <w:bookmarkStart w:id="20" w:name="_Toc115334036"/>
      <w:r>
        <w:rPr>
          <w:rFonts w:hint="eastAsia" w:ascii="方正小标宋简体" w:hAnsi="方正小标宋简体" w:eastAsia="方正小标宋简体" w:cs="方正小标宋简体"/>
          <w:bCs/>
          <w:snapToGrid w:val="0"/>
          <w:color w:val="000000"/>
          <w:kern w:val="0"/>
          <w:sz w:val="36"/>
          <w:szCs w:val="36"/>
          <w:lang w:val="en-US" w:eastAsia="zh-CN" w:bidi="ar-SA"/>
        </w:rPr>
        <w:t>绩效目标申报表</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Style w:val="4"/>
        <w:tblW w:w="9071" w:type="dxa"/>
        <w:tblInd w:w="0" w:type="dxa"/>
        <w:tblLayout w:type="fixed"/>
        <w:tblCellMar>
          <w:top w:w="15" w:type="dxa"/>
          <w:left w:w="15" w:type="dxa"/>
          <w:bottom w:w="15" w:type="dxa"/>
          <w:right w:w="15" w:type="dxa"/>
        </w:tblCellMar>
      </w:tblPr>
      <w:tblGrid>
        <w:gridCol w:w="1276"/>
        <w:gridCol w:w="1716"/>
        <w:gridCol w:w="1828"/>
        <w:gridCol w:w="1701"/>
        <w:gridCol w:w="2550"/>
      </w:tblGrid>
      <w:tr>
        <w:tblPrEx>
          <w:tblCellMar>
            <w:top w:w="15" w:type="dxa"/>
            <w:left w:w="15" w:type="dxa"/>
            <w:bottom w:w="15" w:type="dxa"/>
            <w:right w:w="15" w:type="dxa"/>
          </w:tblCellMar>
        </w:tblPrEx>
        <w:trPr>
          <w:trHeight w:val="540" w:hRule="atLeast"/>
        </w:trPr>
        <w:tc>
          <w:tcPr>
            <w:tcW w:w="9071"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ascii="Calibri" w:hAnsi="Calibri" w:eastAsia="仿宋_GB2312" w:cs="Times New Roman"/>
                <w:bCs/>
                <w:snapToGrid w:val="0"/>
                <w:color w:val="000000"/>
                <w:kern w:val="0"/>
                <w:sz w:val="36"/>
                <w:szCs w:val="36"/>
                <w:lang w:val="en-US" w:eastAsia="zh-CN" w:bidi="ar-SA"/>
              </w:rPr>
            </w:pPr>
            <w:r>
              <w:rPr>
                <w:rFonts w:hint="eastAsia" w:ascii="楷体_GB2312" w:hAnsi="Calibri" w:eastAsia="楷体_GB2312" w:cs="Times New Roman"/>
                <w:bCs/>
                <w:snapToGrid w:val="0"/>
                <w:color w:val="000000"/>
                <w:kern w:val="0"/>
                <w:sz w:val="30"/>
                <w:szCs w:val="30"/>
                <w:lang w:val="en-US" w:eastAsia="zh-CN" w:bidi="ar-SA"/>
              </w:rPr>
              <w:t>（2023</w:t>
            </w:r>
            <w:r>
              <w:rPr>
                <w:rFonts w:ascii="楷体_GB2312" w:hAnsi="Calibri" w:eastAsia="楷体_GB2312" w:cs="Times New Roman"/>
                <w:bCs/>
                <w:snapToGrid w:val="0"/>
                <w:color w:val="000000"/>
                <w:kern w:val="0"/>
                <w:sz w:val="30"/>
                <w:szCs w:val="30"/>
                <w:lang w:val="en-US" w:eastAsia="zh-CN" w:bidi="ar-SA"/>
              </w:rPr>
              <w:t>年</w:t>
            </w:r>
            <w:r>
              <w:rPr>
                <w:rFonts w:hint="eastAsia" w:ascii="楷体_GB2312" w:hAnsi="Calibri" w:eastAsia="楷体_GB2312" w:cs="Times New Roman"/>
                <w:bCs/>
                <w:snapToGrid w:val="0"/>
                <w:color w:val="000000"/>
                <w:kern w:val="0"/>
                <w:sz w:val="30"/>
                <w:szCs w:val="30"/>
                <w:lang w:val="en-US" w:eastAsia="zh-CN" w:bidi="ar-SA"/>
              </w:rPr>
              <w:t>）</w:t>
            </w:r>
          </w:p>
        </w:tc>
      </w:tr>
      <w:tr>
        <w:tblPrEx>
          <w:tblCellMar>
            <w:top w:w="15" w:type="dxa"/>
            <w:left w:w="15" w:type="dxa"/>
            <w:bottom w:w="15" w:type="dxa"/>
            <w:right w:w="15" w:type="dxa"/>
          </w:tblCellMar>
        </w:tblPrEx>
        <w:trPr>
          <w:trHeight w:val="639" w:hRule="atLeast"/>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申报单位</w:t>
            </w:r>
          </w:p>
        </w:tc>
        <w:tc>
          <w:tcPr>
            <w:tcW w:w="779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广州市地方金融监督管理局</w:t>
            </w:r>
          </w:p>
        </w:tc>
      </w:tr>
      <w:tr>
        <w:tblPrEx>
          <w:tblCellMar>
            <w:top w:w="15" w:type="dxa"/>
            <w:left w:w="15" w:type="dxa"/>
            <w:bottom w:w="15" w:type="dxa"/>
            <w:right w:w="15" w:type="dxa"/>
          </w:tblCellMar>
        </w:tblPrEx>
        <w:trPr>
          <w:trHeight w:val="639" w:hRule="atLeast"/>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申报金额</w:t>
            </w:r>
          </w:p>
        </w:tc>
        <w:tc>
          <w:tcPr>
            <w:tcW w:w="779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360万元</w:t>
            </w:r>
          </w:p>
        </w:tc>
      </w:tr>
      <w:tr>
        <w:tblPrEx>
          <w:tblCellMar>
            <w:top w:w="15" w:type="dxa"/>
            <w:left w:w="15" w:type="dxa"/>
            <w:bottom w:w="15" w:type="dxa"/>
            <w:right w:w="15" w:type="dxa"/>
          </w:tblCellMar>
        </w:tblPrEx>
        <w:trPr>
          <w:trHeight w:val="767" w:hRule="atLeast"/>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年度目标</w:t>
            </w:r>
          </w:p>
        </w:tc>
        <w:tc>
          <w:tcPr>
            <w:tcW w:w="7795"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20" w:lineRule="exact"/>
              <w:ind w:left="420" w:hanging="420" w:firstLineChars="0"/>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落地实施指标。</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359" w:firstLineChars="171"/>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依托广东数字金融创新产业园（“一园”）和广州地方金融数字化基础设施平台（“一台”），以实验室（“一室”）为研发基础设施，研发部署数字人民币智能合约系统，支持预付费监管等功能，至少对接1家银行，3个场景落地，接入2家中小微实体商户，支持智能合约调用次数不少于1万次，提升对应的消费，并形成可复制的场景经验。</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20" w:lineRule="exact"/>
              <w:ind w:left="420" w:hanging="420" w:firstLineChars="0"/>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费用支出指标。</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359" w:firstLineChars="171"/>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2023年6月前完成费用总支出的50%，2023年9月前完成费用总支出的75%，2023年12月前完成费用总支出的100%。</w:t>
            </w:r>
          </w:p>
        </w:tc>
      </w:tr>
      <w:tr>
        <w:tblPrEx>
          <w:tblCellMar>
            <w:top w:w="15" w:type="dxa"/>
            <w:left w:w="15" w:type="dxa"/>
            <w:bottom w:w="15" w:type="dxa"/>
            <w:right w:w="15" w:type="dxa"/>
          </w:tblCellMar>
        </w:tblPrEx>
        <w:trPr>
          <w:trHeight w:val="807" w:hRule="atLeast"/>
        </w:trPr>
        <w:tc>
          <w:tcPr>
            <w:tcW w:w="127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阶段目标</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（6月底前）</w:t>
            </w:r>
          </w:p>
        </w:tc>
        <w:tc>
          <w:tcPr>
            <w:tcW w:w="7795" w:type="dxa"/>
            <w:gridSpan w:val="4"/>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320" w:lineRule="exact"/>
              <w:ind w:left="420" w:hanging="420" w:firstLineChars="0"/>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落地实施指标。</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359" w:firstLineChars="171"/>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研发部署数字人民币智能合约系统，支持预付费监管等功能，至少对接1家银行，1个场景落地，接入1家中小微实体商户，支持智能合约调用次数不少于4000次。</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320" w:lineRule="exact"/>
              <w:ind w:left="420" w:hanging="420" w:firstLineChars="0"/>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费用支出指标。</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359" w:firstLineChars="171"/>
              <w:jc w:val="both"/>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2023年6月前完成费用总支出的50%。</w:t>
            </w:r>
          </w:p>
        </w:tc>
      </w:tr>
      <w:tr>
        <w:tblPrEx>
          <w:tblCellMar>
            <w:top w:w="15" w:type="dxa"/>
            <w:left w:w="15" w:type="dxa"/>
            <w:bottom w:w="15" w:type="dxa"/>
            <w:right w:w="15" w:type="dxa"/>
          </w:tblCellMar>
        </w:tblPrEx>
        <w:trPr>
          <w:trHeight w:val="581" w:hRule="atLeast"/>
        </w:trPr>
        <w:tc>
          <w:tcPr>
            <w:tcW w:w="2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目标</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指标内容及口径</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阶段目标</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
                <w:snapToGrid w:val="0"/>
                <w:color w:val="000000"/>
                <w:kern w:val="0"/>
                <w:sz w:val="21"/>
                <w:szCs w:val="21"/>
                <w:lang w:val="en-US" w:eastAsia="zh-CN" w:bidi="ar-SA"/>
              </w:rPr>
            </w:pPr>
            <w:r>
              <w:rPr>
                <w:rFonts w:hint="eastAsia" w:ascii="仿宋_GB2312" w:hAnsi="仿宋_GB2312" w:eastAsia="仿宋_GB2312" w:cs="仿宋_GB2312"/>
                <w:b/>
                <w:snapToGrid w:val="0"/>
                <w:color w:val="000000"/>
                <w:kern w:val="0"/>
                <w:sz w:val="21"/>
                <w:szCs w:val="21"/>
                <w:lang w:val="en-US" w:eastAsia="zh-CN" w:bidi="ar-SA"/>
              </w:rPr>
              <w:t>年度目标</w:t>
            </w:r>
          </w:p>
        </w:tc>
      </w:tr>
      <w:tr>
        <w:tblPrEx>
          <w:tblCellMar>
            <w:top w:w="15" w:type="dxa"/>
            <w:left w:w="15" w:type="dxa"/>
            <w:bottom w:w="15" w:type="dxa"/>
            <w:right w:w="15" w:type="dxa"/>
          </w:tblCellMar>
        </w:tblPrEx>
        <w:trPr>
          <w:trHeight w:val="559" w:hRule="atLeast"/>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产出</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指标</w:t>
            </w:r>
          </w:p>
        </w:tc>
        <w:tc>
          <w:tcPr>
            <w:tcW w:w="17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数量指标</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线上线下场景落地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1个</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3个</w:t>
            </w:r>
          </w:p>
        </w:tc>
      </w:tr>
      <w:tr>
        <w:tblPrEx>
          <w:tblCellMar>
            <w:top w:w="15" w:type="dxa"/>
            <w:left w:w="15" w:type="dxa"/>
            <w:bottom w:w="15" w:type="dxa"/>
            <w:right w:w="15" w:type="dxa"/>
          </w:tblCellMar>
        </w:tblPrEx>
        <w:trPr>
          <w:trHeight w:val="559"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对接银行</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1家</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1家</w:t>
            </w:r>
          </w:p>
        </w:tc>
      </w:tr>
      <w:tr>
        <w:tblPrEx>
          <w:tblCellMar>
            <w:top w:w="15" w:type="dxa"/>
            <w:left w:w="15" w:type="dxa"/>
            <w:bottom w:w="15" w:type="dxa"/>
            <w:right w:w="15" w:type="dxa"/>
          </w:tblCellMar>
        </w:tblPrEx>
        <w:trPr>
          <w:trHeight w:val="455"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质量指标</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智能合约调用次数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4000次</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1万次</w:t>
            </w:r>
          </w:p>
        </w:tc>
      </w:tr>
      <w:tr>
        <w:tblPrEx>
          <w:tblCellMar>
            <w:top w:w="15" w:type="dxa"/>
            <w:left w:w="15" w:type="dxa"/>
            <w:bottom w:w="15" w:type="dxa"/>
            <w:right w:w="15" w:type="dxa"/>
          </w:tblCellMar>
        </w:tblPrEx>
        <w:trPr>
          <w:trHeight w:val="507"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149" w:firstLineChars="71"/>
              <w:jc w:val="both"/>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成本指标</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成本控制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完成费用总支出的50%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149" w:firstLineChars="71"/>
              <w:jc w:val="left"/>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完成费用总支出的100%</w:t>
            </w:r>
          </w:p>
        </w:tc>
      </w:tr>
      <w:tr>
        <w:tblPrEx>
          <w:tblCellMar>
            <w:top w:w="15" w:type="dxa"/>
            <w:left w:w="15" w:type="dxa"/>
            <w:bottom w:w="15" w:type="dxa"/>
            <w:right w:w="15" w:type="dxa"/>
          </w:tblCellMar>
        </w:tblPrEx>
        <w:trPr>
          <w:trHeight w:val="417"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成本节约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jc w:val="left"/>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实际支出不超过预算</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149" w:firstLineChars="71"/>
              <w:jc w:val="left"/>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实际支出不超过预算</w:t>
            </w:r>
          </w:p>
        </w:tc>
      </w:tr>
      <w:tr>
        <w:tblPrEx>
          <w:tblCellMar>
            <w:top w:w="15" w:type="dxa"/>
            <w:left w:w="15" w:type="dxa"/>
            <w:bottom w:w="15" w:type="dxa"/>
            <w:right w:w="15" w:type="dxa"/>
          </w:tblCellMar>
        </w:tblPrEx>
        <w:trPr>
          <w:trHeight w:val="1398" w:hRule="atLeast"/>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效益</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指标</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经济效益</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节省电子支付费用</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left"/>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可节省目前常规移动支付的手续费（约0.03%至0.05%），降低小微企业的经营成本</w:t>
            </w:r>
          </w:p>
        </w:tc>
      </w:tr>
      <w:tr>
        <w:tblPrEx>
          <w:tblCellMar>
            <w:top w:w="15" w:type="dxa"/>
            <w:left w:w="15" w:type="dxa"/>
            <w:bottom w:w="15" w:type="dxa"/>
            <w:right w:w="15" w:type="dxa"/>
          </w:tblCellMar>
        </w:tblPrEx>
        <w:trPr>
          <w:trHeight w:val="555"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社会效益</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服务实体经济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left"/>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系统接入2家中小微实体商户，提升对应的消费，并形成可复制的场景经验。</w:t>
            </w:r>
          </w:p>
        </w:tc>
      </w:tr>
      <w:tr>
        <w:tblPrEx>
          <w:tblCellMar>
            <w:top w:w="15" w:type="dxa"/>
            <w:left w:w="15" w:type="dxa"/>
            <w:bottom w:w="15" w:type="dxa"/>
            <w:right w:w="15" w:type="dxa"/>
          </w:tblCellMar>
        </w:tblPrEx>
        <w:trPr>
          <w:trHeight w:val="555"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防控金融风险</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left"/>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通过数字人民币特性，联合金融机构防控金融风险，提升金融监管的信息化水平</w:t>
            </w:r>
          </w:p>
        </w:tc>
      </w:tr>
      <w:tr>
        <w:tblPrEx>
          <w:tblCellMar>
            <w:top w:w="15" w:type="dxa"/>
            <w:left w:w="15" w:type="dxa"/>
            <w:bottom w:w="15" w:type="dxa"/>
            <w:right w:w="15" w:type="dxa"/>
          </w:tblCellMar>
        </w:tblPrEx>
        <w:trPr>
          <w:trHeight w:val="555"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环境效益</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节能减排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left"/>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降低纸币、硬币等实物现金发行和流通过程中的碳排放量</w:t>
            </w:r>
          </w:p>
        </w:tc>
      </w:tr>
      <w:tr>
        <w:tblPrEx>
          <w:tblCellMar>
            <w:top w:w="15" w:type="dxa"/>
            <w:left w:w="15" w:type="dxa"/>
            <w:bottom w:w="15" w:type="dxa"/>
            <w:right w:w="15" w:type="dxa"/>
          </w:tblCellMar>
        </w:tblPrEx>
        <w:trPr>
          <w:trHeight w:val="555"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可持续发展</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带动数字人民币产业健康发展</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left"/>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带动数字人民币产业健康发展</w:t>
            </w:r>
          </w:p>
        </w:tc>
      </w:tr>
      <w:tr>
        <w:tblPrEx>
          <w:tblCellMar>
            <w:top w:w="15" w:type="dxa"/>
            <w:left w:w="15" w:type="dxa"/>
            <w:bottom w:w="15" w:type="dxa"/>
            <w:right w:w="15" w:type="dxa"/>
          </w:tblCellMar>
        </w:tblPrEx>
        <w:trPr>
          <w:trHeight w:val="555" w:hRule="atLeast"/>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r>
              <w:rPr>
                <w:rFonts w:hint="eastAsia" w:ascii="仿宋_GB2312" w:hAnsi="仿宋_GB2312" w:eastAsia="仿宋_GB2312" w:cs="仿宋_GB2312"/>
                <w:bCs/>
                <w:snapToGrid w:val="0"/>
                <w:color w:val="000000"/>
                <w:kern w:val="0"/>
                <w:sz w:val="21"/>
                <w:szCs w:val="21"/>
                <w:lang w:val="en-US" w:eastAsia="zh-CN" w:bidi="ar-SA"/>
              </w:rPr>
              <w:t>满意度</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服务对象数量</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社会大众</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left"/>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社会大众</w:t>
            </w:r>
          </w:p>
        </w:tc>
      </w:tr>
      <w:tr>
        <w:tblPrEx>
          <w:tblCellMar>
            <w:top w:w="15" w:type="dxa"/>
            <w:left w:w="15" w:type="dxa"/>
            <w:bottom w:w="15" w:type="dxa"/>
            <w:right w:w="15" w:type="dxa"/>
          </w:tblCellMar>
        </w:tblPrEx>
        <w:trPr>
          <w:trHeight w:val="555" w:hRule="atLeast"/>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bCs/>
                <w:snapToGrid w:val="0"/>
                <w:color w:val="000000"/>
                <w:kern w:val="0"/>
                <w:sz w:val="21"/>
                <w:szCs w:val="21"/>
                <w:lang w:val="en-US" w:eastAsia="zh-CN" w:bidi="ar-SA"/>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满意度</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服务满意度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center"/>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90%</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firstLine="0" w:firstLineChars="0"/>
              <w:jc w:val="left"/>
              <w:textAlignment w:val="auto"/>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90%</w:t>
            </w:r>
          </w:p>
        </w:tc>
      </w:tr>
    </w:tbl>
    <w:p>
      <w:pPr>
        <w:pStyle w:val="3"/>
        <w:keepNext/>
        <w:keepLines/>
        <w:numPr>
          <w:ilvl w:val="0"/>
          <w:numId w:val="0"/>
        </w:numPr>
        <w:spacing w:before="0" w:beforeAutospacing="0" w:after="0" w:afterAutospacing="0" w:line="560" w:lineRule="exact"/>
        <w:ind w:leftChars="0"/>
        <w:jc w:val="left"/>
        <w:rPr>
          <w:rFonts w:hint="default" w:ascii="Calibri" w:hAnsi="Calibri" w:eastAsia="仿宋_GB2312" w:cs="Times New Roman"/>
          <w:b w:val="0"/>
          <w:bCs/>
          <w:color w:val="000000"/>
          <w:kern w:val="0"/>
          <w:sz w:val="28"/>
          <w:szCs w:val="28"/>
          <w:lang w:val="en-US" w:eastAsia="zh-CN" w:bidi="ar-SA"/>
        </w:rPr>
      </w:pPr>
      <w:r>
        <w:rPr>
          <w:rFonts w:hint="eastAsia" w:ascii="Calibri" w:hAnsi="Calibri" w:eastAsia="仿宋_GB2312" w:cs="Times New Roman"/>
          <w:b w:val="0"/>
          <w:bCs/>
          <w:color w:val="000000"/>
          <w:kern w:val="0"/>
          <w:sz w:val="28"/>
          <w:szCs w:val="28"/>
          <w:lang w:val="en-US" w:eastAsia="zh-CN" w:bidi="ar-SA"/>
        </w:rPr>
        <w:t>（注：第6-13为省局信息化项目，绩效目标对照立项申报书和相关批复确定实施）</w:t>
      </w:r>
    </w:p>
    <w:p>
      <w:pPr>
        <w:pageBreakBefore w:val="0"/>
        <w:kinsoku/>
        <w:wordWrap/>
        <w:overflowPunct/>
        <w:topLinePunct w:val="0"/>
        <w:bidi w:val="0"/>
        <w:spacing w:line="240" w:lineRule="auto"/>
        <w:ind w:firstLine="4560" w:firstLineChars="1900"/>
        <w:rPr>
          <w:rFonts w:ascii="仿宋_GB2312" w:hAnsi="宋体" w:eastAsia="仿宋_GB2312" w:cs="仿宋_GB2312"/>
          <w:bCs/>
          <w:color w:val="00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C12"/>
    <w:multiLevelType w:val="multilevel"/>
    <w:tmpl w:val="04207C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1A236E"/>
    <w:multiLevelType w:val="singleLevel"/>
    <w:tmpl w:val="5D1A236E"/>
    <w:lvl w:ilvl="0" w:tentative="0">
      <w:start w:val="1"/>
      <w:numFmt w:val="decimal"/>
      <w:lvlText w:val="%1."/>
      <w:lvlJc w:val="left"/>
      <w:pPr>
        <w:tabs>
          <w:tab w:val="left" w:pos="312"/>
        </w:tabs>
      </w:pPr>
      <w:rPr>
        <w:rFonts w:hint="default" w:ascii="仿宋" w:hAnsi="仿宋" w:eastAsia="仿宋" w:cs="仿宋"/>
        <w:sz w:val="28"/>
        <w:szCs w:val="28"/>
      </w:rPr>
    </w:lvl>
  </w:abstractNum>
  <w:abstractNum w:abstractNumId="2">
    <w:nsid w:val="7C6E56D7"/>
    <w:multiLevelType w:val="multilevel"/>
    <w:tmpl w:val="7C6E56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F0636"/>
    <w:rsid w:val="71FF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Calibri" w:hAnsi="Calibri" w:cs="宋体"/>
      <w:szCs w:val="22"/>
    </w:rPr>
  </w:style>
  <w:style w:type="paragraph" w:customStyle="1" w:styleId="6">
    <w:name w:val="0.公文段落"/>
    <w:basedOn w:val="1"/>
    <w:qFormat/>
    <w:uiPriority w:val="0"/>
    <w:pPr>
      <w:autoSpaceDE w:val="0"/>
      <w:autoSpaceDN w:val="0"/>
      <w:adjustRightInd w:val="0"/>
      <w:snapToGrid w:val="0"/>
      <w:spacing w:line="360" w:lineRule="auto"/>
      <w:ind w:firstLine="200" w:firstLineChars="200"/>
    </w:pPr>
    <w:rPr>
      <w:rFonts w:eastAsia="仿宋_GB2312"/>
      <w:snapToGrid w:val="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2023-03-20T08:33:00Z</dcterms:created>
  <dc:creator>luf</dc:creator>
  <cp:lastModifiedBy>luf</cp:lastModifiedBy>
  <dcterms:modified xsi:type="dcterms:W3CDTF">2023-03-20T08:35:02Z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