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3" w:lineRule="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eastAsia="zh-CN"/>
        </w:rPr>
        <w:t>附件</w:t>
      </w:r>
      <w:r>
        <w:rPr>
          <w:rFonts w:hint="eastAsia" w:ascii="黑体" w:hAnsi="黑体" w:eastAsia="黑体" w:cs="黑体"/>
          <w:color w:val="auto"/>
          <w:sz w:val="32"/>
          <w:szCs w:val="32"/>
          <w:lang w:val="en-US" w:eastAsia="zh-CN"/>
        </w:rPr>
        <w:t>5</w:t>
      </w:r>
    </w:p>
    <w:p>
      <w:pPr>
        <w:spacing w:line="303" w:lineRule="auto"/>
        <w:rPr>
          <w:rFonts w:ascii="Arial"/>
          <w:color w:val="auto"/>
          <w:sz w:val="21"/>
        </w:rPr>
      </w:pPr>
    </w:p>
    <w:p>
      <w:pPr>
        <w:spacing w:line="303" w:lineRule="auto"/>
        <w:rPr>
          <w:rFonts w:ascii="Arial"/>
          <w:color w:val="auto"/>
          <w:sz w:val="21"/>
        </w:rPr>
      </w:pPr>
    </w:p>
    <w:p>
      <w:pPr>
        <w:spacing w:line="523" w:lineRule="exact"/>
        <w:jc w:val="center"/>
        <w:textAlignment w:val="center"/>
        <w:rPr>
          <w:rFonts w:hint="eastAsia" w:asciiTheme="majorEastAsia" w:hAnsiTheme="majorEastAsia" w:eastAsiaTheme="majorEastAsia" w:cstheme="majorEastAsia"/>
          <w:b/>
          <w:bCs/>
          <w:color w:val="auto"/>
          <w:spacing w:val="25"/>
          <w:sz w:val="48"/>
          <w:szCs w:val="48"/>
          <w:lang w:val="en-US" w:eastAsia="zh-CN"/>
        </w:rPr>
      </w:pPr>
    </w:p>
    <w:p>
      <w:pPr>
        <w:spacing w:line="523" w:lineRule="exact"/>
        <w:jc w:val="center"/>
        <w:textAlignment w:val="center"/>
        <w:rPr>
          <w:rFonts w:hint="eastAsia" w:asciiTheme="majorEastAsia" w:hAnsiTheme="majorEastAsia" w:eastAsiaTheme="majorEastAsia" w:cstheme="majorEastAsia"/>
          <w:b/>
          <w:bCs/>
          <w:color w:val="auto"/>
          <w:spacing w:val="25"/>
          <w:sz w:val="48"/>
          <w:szCs w:val="48"/>
          <w:lang w:val="en-US" w:eastAsia="zh-CN"/>
        </w:rPr>
      </w:pPr>
    </w:p>
    <w:p>
      <w:pPr>
        <w:pageBreakBefore w:val="0"/>
        <w:widowControl w:val="0"/>
        <w:kinsoku/>
        <w:wordWrap/>
        <w:overflowPunct/>
        <w:topLinePunct w:val="0"/>
        <w:bidi w:val="0"/>
        <w:spacing w:before="97" w:line="221" w:lineRule="auto"/>
        <w:jc w:val="center"/>
        <w:rPr>
          <w:rFonts w:hint="eastAsia" w:ascii="方正小标宋简体" w:hAnsi="方正小标宋简体" w:eastAsia="方正小标宋简体" w:cs="方正小标宋简体"/>
          <w:b w:val="0"/>
          <w:bCs w:val="0"/>
          <w:color w:val="auto"/>
          <w:spacing w:val="25"/>
          <w:kern w:val="0"/>
          <w:sz w:val="48"/>
          <w:szCs w:val="48"/>
          <w:lang w:val="en-US" w:eastAsia="zh-CN" w:bidi="ar-SA"/>
        </w:rPr>
      </w:pPr>
      <w:r>
        <w:rPr>
          <w:rFonts w:hint="eastAsia" w:ascii="方正小标宋简体" w:hAnsi="方正小标宋简体" w:eastAsia="方正小标宋简体" w:cs="方正小标宋简体"/>
          <w:b w:val="0"/>
          <w:bCs w:val="0"/>
          <w:color w:val="auto"/>
          <w:spacing w:val="25"/>
          <w:kern w:val="0"/>
          <w:sz w:val="48"/>
          <w:szCs w:val="48"/>
          <w:lang w:val="en-US" w:eastAsia="zh-CN" w:bidi="ar-SA"/>
        </w:rPr>
        <w:t>2022年广东省小微企业融资担保降费</w:t>
      </w:r>
    </w:p>
    <w:p>
      <w:pPr>
        <w:pageBreakBefore w:val="0"/>
        <w:widowControl w:val="0"/>
        <w:kinsoku/>
        <w:wordWrap/>
        <w:overflowPunct/>
        <w:topLinePunct w:val="0"/>
        <w:bidi w:val="0"/>
        <w:spacing w:before="97" w:line="221" w:lineRule="auto"/>
        <w:jc w:val="center"/>
        <w:rPr>
          <w:rFonts w:hint="eastAsia" w:ascii="方正小标宋简体" w:hAnsi="方正小标宋简体" w:eastAsia="方正小标宋简体" w:cs="方正小标宋简体"/>
          <w:b w:val="0"/>
          <w:bCs w:val="0"/>
          <w:color w:val="auto"/>
          <w:spacing w:val="25"/>
          <w:kern w:val="0"/>
          <w:sz w:val="48"/>
          <w:szCs w:val="48"/>
          <w:lang w:val="en-US" w:eastAsia="zh-CN" w:bidi="ar-SA"/>
        </w:rPr>
      </w:pPr>
      <w:r>
        <w:rPr>
          <w:rFonts w:hint="eastAsia" w:ascii="方正小标宋简体" w:hAnsi="方正小标宋简体" w:eastAsia="方正小标宋简体" w:cs="方正小标宋简体"/>
          <w:b w:val="0"/>
          <w:bCs w:val="0"/>
          <w:color w:val="auto"/>
          <w:spacing w:val="25"/>
          <w:kern w:val="0"/>
          <w:sz w:val="48"/>
          <w:szCs w:val="48"/>
          <w:lang w:val="en-US" w:eastAsia="zh-CN" w:bidi="ar-SA"/>
        </w:rPr>
        <w:t>补助资金绩效自评报告</w:t>
      </w:r>
    </w:p>
    <w:p>
      <w:pPr>
        <w:spacing w:line="245" w:lineRule="auto"/>
        <w:rPr>
          <w:rFonts w:ascii="Arial"/>
          <w:color w:val="auto"/>
          <w:sz w:val="21"/>
        </w:rPr>
      </w:pPr>
    </w:p>
    <w:p>
      <w:pPr>
        <w:spacing w:line="245" w:lineRule="auto"/>
        <w:rPr>
          <w:rFonts w:ascii="Arial"/>
          <w:color w:val="auto"/>
          <w:sz w:val="21"/>
        </w:rPr>
      </w:pPr>
    </w:p>
    <w:p>
      <w:pPr>
        <w:spacing w:line="245" w:lineRule="auto"/>
        <w:rPr>
          <w:rFonts w:ascii="Arial"/>
          <w:color w:val="auto"/>
          <w:sz w:val="21"/>
        </w:rPr>
      </w:pPr>
    </w:p>
    <w:p>
      <w:pPr>
        <w:spacing w:line="245" w:lineRule="auto"/>
        <w:rPr>
          <w:rFonts w:ascii="Arial"/>
          <w:color w:val="auto"/>
          <w:sz w:val="21"/>
        </w:rPr>
      </w:pPr>
    </w:p>
    <w:p>
      <w:pPr>
        <w:spacing w:line="245" w:lineRule="auto"/>
        <w:rPr>
          <w:rFonts w:ascii="Arial"/>
          <w:color w:val="auto"/>
          <w:sz w:val="21"/>
        </w:rPr>
      </w:pPr>
    </w:p>
    <w:p>
      <w:pPr>
        <w:spacing w:line="245" w:lineRule="auto"/>
        <w:rPr>
          <w:rFonts w:ascii="Arial"/>
          <w:color w:val="auto"/>
          <w:sz w:val="21"/>
        </w:rPr>
      </w:pPr>
    </w:p>
    <w:p>
      <w:pPr>
        <w:spacing w:line="245" w:lineRule="auto"/>
        <w:rPr>
          <w:rFonts w:ascii="Arial"/>
          <w:color w:val="auto"/>
          <w:sz w:val="21"/>
        </w:rPr>
      </w:pPr>
    </w:p>
    <w:p>
      <w:pPr>
        <w:spacing w:line="245" w:lineRule="auto"/>
        <w:rPr>
          <w:rFonts w:ascii="Arial"/>
          <w:color w:val="auto"/>
          <w:sz w:val="21"/>
        </w:rPr>
      </w:pPr>
    </w:p>
    <w:p>
      <w:pPr>
        <w:spacing w:line="245" w:lineRule="auto"/>
        <w:rPr>
          <w:rFonts w:ascii="Arial"/>
          <w:color w:val="auto"/>
          <w:sz w:val="21"/>
        </w:rPr>
      </w:pPr>
    </w:p>
    <w:p>
      <w:pPr>
        <w:spacing w:line="245" w:lineRule="auto"/>
        <w:rPr>
          <w:rFonts w:ascii="Arial"/>
          <w:color w:val="auto"/>
          <w:sz w:val="21"/>
        </w:rPr>
      </w:pPr>
    </w:p>
    <w:p>
      <w:pPr>
        <w:spacing w:line="245" w:lineRule="auto"/>
        <w:rPr>
          <w:rFonts w:ascii="Arial"/>
          <w:color w:val="auto"/>
          <w:sz w:val="21"/>
        </w:rPr>
      </w:pPr>
    </w:p>
    <w:p>
      <w:pPr>
        <w:spacing w:line="245" w:lineRule="auto"/>
        <w:rPr>
          <w:rFonts w:ascii="Arial"/>
          <w:color w:val="auto"/>
          <w:sz w:val="21"/>
        </w:rPr>
      </w:pPr>
    </w:p>
    <w:p>
      <w:pPr>
        <w:spacing w:line="245" w:lineRule="auto"/>
        <w:rPr>
          <w:rFonts w:ascii="Arial"/>
          <w:color w:val="auto"/>
          <w:sz w:val="21"/>
        </w:rPr>
      </w:pPr>
    </w:p>
    <w:p>
      <w:pPr>
        <w:spacing w:line="245" w:lineRule="auto"/>
        <w:rPr>
          <w:rFonts w:ascii="Arial"/>
          <w:color w:val="auto"/>
          <w:sz w:val="21"/>
        </w:rPr>
      </w:pPr>
    </w:p>
    <w:p>
      <w:pPr>
        <w:spacing w:line="246" w:lineRule="auto"/>
        <w:rPr>
          <w:rFonts w:ascii="Arial"/>
          <w:color w:val="auto"/>
          <w:sz w:val="21"/>
        </w:rPr>
      </w:pPr>
    </w:p>
    <w:p>
      <w:pPr>
        <w:spacing w:line="246" w:lineRule="auto"/>
        <w:rPr>
          <w:rFonts w:ascii="Arial"/>
          <w:color w:val="auto"/>
          <w:sz w:val="21"/>
        </w:rPr>
      </w:pPr>
    </w:p>
    <w:p>
      <w:pPr>
        <w:spacing w:line="246" w:lineRule="auto"/>
        <w:rPr>
          <w:rFonts w:ascii="Arial"/>
          <w:color w:val="auto"/>
          <w:sz w:val="21"/>
        </w:rPr>
      </w:pPr>
    </w:p>
    <w:p>
      <w:pPr>
        <w:spacing w:line="246" w:lineRule="auto"/>
        <w:rPr>
          <w:rFonts w:ascii="Arial"/>
          <w:color w:val="auto"/>
          <w:sz w:val="21"/>
        </w:rPr>
      </w:pPr>
    </w:p>
    <w:p>
      <w:pPr>
        <w:spacing w:line="246" w:lineRule="auto"/>
        <w:rPr>
          <w:rFonts w:ascii="Arial"/>
          <w:color w:val="auto"/>
          <w:sz w:val="21"/>
        </w:rPr>
      </w:pPr>
    </w:p>
    <w:p>
      <w:pPr>
        <w:spacing w:line="246" w:lineRule="auto"/>
        <w:rPr>
          <w:rFonts w:ascii="Arial"/>
          <w:color w:val="auto"/>
          <w:sz w:val="21"/>
        </w:rPr>
      </w:pPr>
    </w:p>
    <w:p>
      <w:pPr>
        <w:spacing w:line="246" w:lineRule="auto"/>
        <w:rPr>
          <w:rFonts w:ascii="Arial"/>
          <w:color w:val="auto"/>
          <w:sz w:val="21"/>
        </w:rPr>
      </w:pPr>
    </w:p>
    <w:p>
      <w:pPr>
        <w:spacing w:line="246" w:lineRule="auto"/>
        <w:rPr>
          <w:rFonts w:ascii="Arial"/>
          <w:color w:val="auto"/>
          <w:sz w:val="21"/>
        </w:rPr>
      </w:pPr>
    </w:p>
    <w:p>
      <w:pPr>
        <w:spacing w:line="246" w:lineRule="auto"/>
        <w:rPr>
          <w:rFonts w:ascii="Arial"/>
          <w:color w:val="auto"/>
          <w:sz w:val="21"/>
        </w:rPr>
      </w:pPr>
    </w:p>
    <w:p>
      <w:pPr>
        <w:spacing w:line="246" w:lineRule="auto"/>
        <w:rPr>
          <w:rFonts w:ascii="Arial"/>
          <w:color w:val="auto"/>
          <w:sz w:val="21"/>
        </w:rPr>
      </w:pPr>
    </w:p>
    <w:p>
      <w:pPr>
        <w:spacing w:line="246" w:lineRule="auto"/>
        <w:rPr>
          <w:rFonts w:ascii="Arial"/>
          <w:color w:val="auto"/>
          <w:sz w:val="21"/>
        </w:rPr>
      </w:pPr>
    </w:p>
    <w:p>
      <w:pPr>
        <w:spacing w:line="246" w:lineRule="auto"/>
        <w:rPr>
          <w:rFonts w:ascii="Arial"/>
          <w:color w:val="auto"/>
          <w:sz w:val="21"/>
        </w:rPr>
      </w:pPr>
    </w:p>
    <w:p>
      <w:pPr>
        <w:spacing w:line="246" w:lineRule="auto"/>
        <w:rPr>
          <w:rFonts w:ascii="Arial"/>
          <w:color w:val="auto"/>
          <w:sz w:val="21"/>
        </w:rPr>
      </w:pPr>
    </w:p>
    <w:p>
      <w:pPr>
        <w:spacing w:line="246" w:lineRule="auto"/>
        <w:rPr>
          <w:rFonts w:ascii="Arial"/>
          <w:color w:val="auto"/>
          <w:sz w:val="21"/>
        </w:rPr>
      </w:pPr>
    </w:p>
    <w:p>
      <w:pPr>
        <w:spacing w:line="246" w:lineRule="auto"/>
        <w:rPr>
          <w:rFonts w:ascii="Arial"/>
          <w:color w:val="auto"/>
          <w:sz w:val="21"/>
        </w:rPr>
      </w:pPr>
    </w:p>
    <w:p>
      <w:pPr>
        <w:keepNext w:val="0"/>
        <w:keepLines w:val="0"/>
        <w:pageBreakBefore w:val="0"/>
        <w:widowControl w:val="0"/>
        <w:kinsoku/>
        <w:wordWrap/>
        <w:overflowPunct/>
        <w:topLinePunct w:val="0"/>
        <w:autoSpaceDE w:val="0"/>
        <w:autoSpaceDN w:val="0"/>
        <w:bidi w:val="0"/>
        <w:adjustRightInd w:val="0"/>
        <w:snapToGrid w:val="0"/>
        <w:spacing w:before="101" w:line="240" w:lineRule="auto"/>
        <w:ind w:left="249"/>
        <w:jc w:val="left"/>
        <w:textAlignment w:val="baseline"/>
        <w:rPr>
          <w:rFonts w:hint="eastAsia" w:ascii="仿宋" w:hAnsi="仿宋" w:eastAsia="仿宋" w:cs="新宋体"/>
          <w:color w:val="auto"/>
          <w:spacing w:val="6"/>
          <w:kern w:val="0"/>
          <w:sz w:val="32"/>
          <w:szCs w:val="32"/>
          <w:lang w:val="en-US" w:eastAsia="zh-CN" w:bidi="ar-SA"/>
        </w:rPr>
      </w:pPr>
      <w:r>
        <w:rPr>
          <w:rFonts w:hint="eastAsia" w:ascii="仿宋" w:hAnsi="仿宋" w:eastAsia="仿宋" w:cs="新宋体"/>
          <w:color w:val="auto"/>
          <w:spacing w:val="6"/>
          <w:kern w:val="0"/>
          <w:sz w:val="32"/>
          <w:szCs w:val="32"/>
          <w:lang w:val="en-US" w:eastAsia="zh-CN" w:bidi="ar-SA"/>
        </w:rPr>
        <w:t>资金名称：小微企业融资担保降费补助</w:t>
      </w:r>
    </w:p>
    <w:p>
      <w:pPr>
        <w:keepNext w:val="0"/>
        <w:keepLines w:val="0"/>
        <w:pageBreakBefore w:val="0"/>
        <w:widowControl w:val="0"/>
        <w:kinsoku/>
        <w:wordWrap/>
        <w:overflowPunct/>
        <w:topLinePunct w:val="0"/>
        <w:autoSpaceDE w:val="0"/>
        <w:autoSpaceDN w:val="0"/>
        <w:bidi w:val="0"/>
        <w:adjustRightInd w:val="0"/>
        <w:snapToGrid w:val="0"/>
        <w:spacing w:before="101" w:line="240" w:lineRule="auto"/>
        <w:ind w:left="249"/>
        <w:jc w:val="left"/>
        <w:textAlignment w:val="baseline"/>
        <w:rPr>
          <w:rFonts w:hint="eastAsia" w:ascii="仿宋" w:hAnsi="仿宋" w:eastAsia="仿宋" w:cs="新宋体"/>
          <w:color w:val="auto"/>
          <w:spacing w:val="6"/>
          <w:kern w:val="0"/>
          <w:sz w:val="32"/>
          <w:szCs w:val="32"/>
          <w:lang w:val="en-US" w:eastAsia="zh-CN" w:bidi="ar-SA"/>
        </w:rPr>
      </w:pPr>
      <w:r>
        <w:rPr>
          <w:rFonts w:hint="eastAsia" w:ascii="仿宋" w:hAnsi="仿宋" w:eastAsia="仿宋" w:cs="新宋体"/>
          <w:color w:val="auto"/>
          <w:spacing w:val="6"/>
          <w:kern w:val="0"/>
          <w:sz w:val="32"/>
          <w:szCs w:val="32"/>
          <w:lang w:val="en-US" w:eastAsia="zh-CN" w:bidi="ar-SA"/>
        </w:rPr>
        <w:t>预算单位：广东省地方金融监督管理局</w:t>
      </w:r>
    </w:p>
    <w:p>
      <w:pPr>
        <w:keepNext w:val="0"/>
        <w:keepLines w:val="0"/>
        <w:pageBreakBefore w:val="0"/>
        <w:widowControl w:val="0"/>
        <w:kinsoku/>
        <w:wordWrap/>
        <w:overflowPunct/>
        <w:topLinePunct w:val="0"/>
        <w:autoSpaceDE w:val="0"/>
        <w:autoSpaceDN w:val="0"/>
        <w:bidi w:val="0"/>
        <w:adjustRightInd w:val="0"/>
        <w:snapToGrid w:val="0"/>
        <w:spacing w:before="101" w:line="240" w:lineRule="auto"/>
        <w:ind w:left="249"/>
        <w:jc w:val="left"/>
        <w:textAlignment w:val="baseline"/>
        <w:rPr>
          <w:rFonts w:hint="default" w:ascii="Times New Roman" w:hAnsi="Times New Roman" w:eastAsia="CESI仿宋-GB2312" w:cs="Times New Roman"/>
          <w:color w:val="auto"/>
          <w:spacing w:val="6"/>
          <w:kern w:val="0"/>
          <w:sz w:val="32"/>
          <w:szCs w:val="32"/>
          <w:lang w:val="en-US" w:eastAsia="zh-CN" w:bidi="ar-SA"/>
        </w:rPr>
      </w:pPr>
      <w:r>
        <w:rPr>
          <w:rFonts w:hint="default" w:ascii="Times New Roman" w:hAnsi="Times New Roman" w:eastAsia="CESI仿宋-GB2312" w:cs="Times New Roman"/>
          <w:color w:val="auto"/>
          <w:spacing w:val="6"/>
          <w:kern w:val="0"/>
          <w:sz w:val="32"/>
          <w:szCs w:val="32"/>
          <w:lang w:val="en-US" w:eastAsia="zh-CN" w:bidi="ar-SA"/>
        </w:rPr>
        <w:t>联系电话：020-83135170</w:t>
      </w:r>
    </w:p>
    <w:p>
      <w:pPr>
        <w:keepNext w:val="0"/>
        <w:keepLines w:val="0"/>
        <w:pageBreakBefore w:val="0"/>
        <w:widowControl w:val="0"/>
        <w:kinsoku/>
        <w:wordWrap/>
        <w:overflowPunct/>
        <w:topLinePunct w:val="0"/>
        <w:autoSpaceDE w:val="0"/>
        <w:autoSpaceDN w:val="0"/>
        <w:bidi w:val="0"/>
        <w:adjustRightInd w:val="0"/>
        <w:snapToGrid w:val="0"/>
        <w:spacing w:before="101" w:line="240" w:lineRule="auto"/>
        <w:ind w:left="249"/>
        <w:jc w:val="left"/>
        <w:textAlignment w:val="baseline"/>
        <w:rPr>
          <w:rFonts w:hint="default" w:ascii="Times New Roman" w:hAnsi="Times New Roman" w:eastAsia="CESI仿宋-GB2312" w:cs="Times New Roman"/>
          <w:color w:val="auto"/>
          <w:spacing w:val="6"/>
          <w:kern w:val="0"/>
          <w:sz w:val="32"/>
          <w:szCs w:val="32"/>
          <w:lang w:val="en-US" w:eastAsia="zh-CN" w:bidi="ar-SA"/>
        </w:rPr>
        <w:sectPr>
          <w:footerReference r:id="rId5" w:type="default"/>
          <w:pgSz w:w="11902" w:h="16843"/>
          <w:pgMar w:top="1431" w:right="1283" w:bottom="1429" w:left="1543" w:header="0" w:footer="543" w:gutter="0"/>
          <w:pgNumType w:fmt="decimal" w:start="1"/>
          <w:cols w:space="720" w:num="1"/>
        </w:sectPr>
      </w:pPr>
      <w:r>
        <w:rPr>
          <w:rFonts w:hint="default" w:ascii="Times New Roman" w:hAnsi="Times New Roman" w:eastAsia="CESI仿宋-GB2312" w:cs="Times New Roman"/>
          <w:color w:val="auto"/>
          <w:spacing w:val="6"/>
          <w:kern w:val="0"/>
          <w:sz w:val="32"/>
          <w:szCs w:val="32"/>
          <w:lang w:val="en-US" w:eastAsia="zh-CN" w:bidi="ar-SA"/>
        </w:rPr>
        <w:t>填报日期：2023年7月</w:t>
      </w:r>
      <w:r>
        <w:rPr>
          <w:rFonts w:hint="eastAsia" w:ascii="Times New Roman" w:hAnsi="Times New Roman" w:eastAsia="CESI仿宋-GB2312" w:cs="Times New Roman"/>
          <w:color w:val="auto"/>
          <w:spacing w:val="6"/>
          <w:kern w:val="0"/>
          <w:sz w:val="32"/>
          <w:szCs w:val="32"/>
          <w:lang w:val="en-US" w:eastAsia="zh-CN" w:bidi="ar-SA"/>
        </w:rPr>
        <w:t>31</w:t>
      </w:r>
      <w:r>
        <w:rPr>
          <w:rFonts w:hint="default" w:ascii="Times New Roman" w:hAnsi="Times New Roman" w:eastAsia="CESI仿宋-GB2312" w:cs="Times New Roman"/>
          <w:color w:val="auto"/>
          <w:spacing w:val="6"/>
          <w:kern w:val="0"/>
          <w:sz w:val="32"/>
          <w:szCs w:val="32"/>
          <w:lang w:val="en-US" w:eastAsia="zh-CN" w:bidi="ar-SA"/>
        </w:rPr>
        <w:t>日</w:t>
      </w:r>
    </w:p>
    <w:p>
      <w:pPr>
        <w:keepNext w:val="0"/>
        <w:keepLines w:val="0"/>
        <w:pageBreakBefore w:val="0"/>
        <w:widowControl w:val="0"/>
        <w:kinsoku/>
        <w:wordWrap/>
        <w:overflowPunct/>
        <w:topLinePunct w:val="0"/>
        <w:autoSpaceDE w:val="0"/>
        <w:autoSpaceDN w:val="0"/>
        <w:bidi w:val="0"/>
        <w:adjustRightInd w:val="0"/>
        <w:snapToGrid w:val="0"/>
        <w:spacing w:line="620" w:lineRule="exact"/>
        <w:ind w:right="0" w:firstLine="680" w:firstLineChars="200"/>
        <w:jc w:val="both"/>
        <w:textAlignment w:val="baseline"/>
        <w:rPr>
          <w:rFonts w:hint="eastAsia" w:ascii="黑体" w:hAnsi="黑体" w:eastAsia="黑体" w:cs="黑体"/>
          <w:b w:val="0"/>
          <w:bCs w:val="0"/>
          <w:color w:val="auto"/>
          <w:spacing w:val="10"/>
          <w:kern w:val="0"/>
          <w:position w:val="4"/>
          <w:sz w:val="32"/>
          <w:szCs w:val="32"/>
          <w:lang w:val="en-US" w:eastAsia="zh-CN" w:bidi="ar-SA"/>
        </w:rPr>
      </w:pPr>
      <w:bookmarkStart w:id="0" w:name="_Toc18837"/>
      <w:r>
        <w:rPr>
          <w:rFonts w:hint="eastAsia" w:ascii="黑体" w:hAnsi="黑体" w:eastAsia="黑体" w:cs="黑体"/>
          <w:b w:val="0"/>
          <w:bCs w:val="0"/>
          <w:color w:val="auto"/>
          <w:spacing w:val="10"/>
          <w:kern w:val="0"/>
          <w:position w:val="4"/>
          <w:sz w:val="32"/>
          <w:szCs w:val="32"/>
          <w:lang w:val="en-US" w:eastAsia="zh-CN" w:bidi="ar-SA"/>
        </w:rPr>
        <w:t>一、基本情况</w:t>
      </w:r>
      <w:bookmarkEnd w:id="0"/>
    </w:p>
    <w:p>
      <w:pPr>
        <w:keepNext w:val="0"/>
        <w:keepLines w:val="0"/>
        <w:pageBreakBefore w:val="0"/>
        <w:widowControl w:val="0"/>
        <w:kinsoku/>
        <w:wordWrap/>
        <w:overflowPunct/>
        <w:topLinePunct w:val="0"/>
        <w:autoSpaceDE w:val="0"/>
        <w:autoSpaceDN w:val="0"/>
        <w:bidi w:val="0"/>
        <w:adjustRightInd w:val="0"/>
        <w:snapToGrid w:val="0"/>
        <w:spacing w:line="620" w:lineRule="exact"/>
        <w:ind w:right="0" w:firstLine="668" w:firstLineChars="200"/>
        <w:jc w:val="both"/>
        <w:textAlignment w:val="baseline"/>
        <w:outlineLvl w:val="1"/>
        <w:rPr>
          <w:rFonts w:hint="eastAsia" w:ascii="楷体_GB2312" w:hAnsi="楷体_GB2312" w:eastAsia="楷体_GB2312" w:cs="楷体_GB2312"/>
          <w:b w:val="0"/>
          <w:bCs w:val="0"/>
          <w:color w:val="auto"/>
          <w:spacing w:val="7"/>
          <w:kern w:val="0"/>
          <w:sz w:val="32"/>
          <w:szCs w:val="32"/>
          <w:lang w:val="en-US" w:eastAsia="zh-CN" w:bidi="ar-SA"/>
        </w:rPr>
      </w:pPr>
      <w:bookmarkStart w:id="1" w:name="_Toc10817"/>
      <w:r>
        <w:rPr>
          <w:rFonts w:hint="eastAsia" w:ascii="楷体_GB2312" w:hAnsi="楷体_GB2312" w:eastAsia="楷体_GB2312" w:cs="楷体_GB2312"/>
          <w:b w:val="0"/>
          <w:bCs w:val="0"/>
          <w:color w:val="auto"/>
          <w:spacing w:val="7"/>
          <w:kern w:val="0"/>
          <w:sz w:val="32"/>
          <w:szCs w:val="32"/>
          <w:lang w:val="en-US" w:eastAsia="zh-CN" w:bidi="ar-SA"/>
        </w:rPr>
        <w:t>（一）</w:t>
      </w:r>
      <w:bookmarkEnd w:id="1"/>
      <w:bookmarkStart w:id="2" w:name="_Toc15506"/>
      <w:r>
        <w:rPr>
          <w:rFonts w:hint="eastAsia" w:ascii="楷体_GB2312" w:hAnsi="楷体_GB2312" w:eastAsia="楷体_GB2312" w:cs="楷体_GB2312"/>
          <w:b w:val="0"/>
          <w:bCs w:val="0"/>
          <w:color w:val="auto"/>
          <w:spacing w:val="7"/>
          <w:kern w:val="0"/>
          <w:sz w:val="32"/>
          <w:szCs w:val="32"/>
          <w:lang w:val="en-US" w:eastAsia="zh-CN" w:bidi="ar-SA"/>
        </w:rPr>
        <w:t>专项资金基本情况</w:t>
      </w:r>
      <w:bookmarkEnd w:id="2"/>
    </w:p>
    <w:p>
      <w:pPr>
        <w:keepNext w:val="0"/>
        <w:keepLines w:val="0"/>
        <w:pageBreakBefore w:val="0"/>
        <w:widowControl w:val="0"/>
        <w:kinsoku/>
        <w:wordWrap/>
        <w:overflowPunct/>
        <w:topLinePunct w:val="0"/>
        <w:autoSpaceDE w:val="0"/>
        <w:autoSpaceDN w:val="0"/>
        <w:bidi w:val="0"/>
        <w:adjustRightInd w:val="0"/>
        <w:snapToGrid w:val="0"/>
        <w:spacing w:line="620" w:lineRule="exact"/>
        <w:ind w:right="0" w:firstLine="668" w:firstLineChars="200"/>
        <w:jc w:val="both"/>
        <w:textAlignment w:val="baseline"/>
        <w:rPr>
          <w:rFonts w:hint="eastAsia" w:ascii="仿宋" w:hAnsi="仿宋" w:eastAsia="仿宋" w:cs="仿宋"/>
          <w:color w:val="auto"/>
          <w:sz w:val="32"/>
          <w:szCs w:val="32"/>
          <w:lang w:eastAsia="zh-CN"/>
        </w:rPr>
      </w:pPr>
      <w:r>
        <w:rPr>
          <w:rFonts w:hint="eastAsia" w:ascii="仿宋_GB2312" w:hAnsi="仿宋_GB2312" w:eastAsia="仿宋_GB2312" w:cs="仿宋_GB2312"/>
          <w:spacing w:val="7"/>
          <w:sz w:val="32"/>
          <w:szCs w:val="32"/>
          <w:lang w:eastAsia="zh-CN"/>
        </w:rPr>
        <w:t>为贯彻落实党中央经济工作部署和国务院有关工作安排，细化落实金融稳定发展工作要求，省地方金融监管局围绕省委、省政府中心工作，不断加大对实体经济特别是受疫情影响行业和中小微企业的支持力度。</w:t>
      </w:r>
      <w:r>
        <w:rPr>
          <w:rFonts w:hint="eastAsia" w:ascii="仿宋_GB2312" w:hAnsi="仿宋_GB2312" w:eastAsia="仿宋_GB2312" w:cs="仿宋_GB2312"/>
          <w:spacing w:val="7"/>
          <w:sz w:val="32"/>
          <w:szCs w:val="32"/>
          <w:lang w:val="en-US" w:eastAsia="zh-CN"/>
        </w:rPr>
        <w:t>2022年4月，由</w:t>
      </w:r>
      <w:r>
        <w:rPr>
          <w:rFonts w:hint="eastAsia" w:ascii="仿宋_GB2312" w:hAnsi="仿宋_GB2312" w:eastAsia="仿宋_GB2312" w:cs="仿宋_GB2312"/>
          <w:spacing w:val="7"/>
          <w:sz w:val="32"/>
          <w:szCs w:val="32"/>
          <w:lang w:eastAsia="zh-CN"/>
        </w:rPr>
        <w:t>省政府办公厅印发《广东金融支持受疫情影响企业纾困和经济稳增长行动方案》（粤府办</w:t>
      </w:r>
      <w:r>
        <w:rPr>
          <w:rFonts w:hint="eastAsia" w:ascii="方正隶书_GBK" w:hAnsi="方正隶书_GBK" w:eastAsia="方正隶书_GBK" w:cs="方正隶书_GBK"/>
          <w:spacing w:val="7"/>
          <w:sz w:val="32"/>
          <w:szCs w:val="32"/>
          <w:lang w:eastAsia="zh-CN"/>
        </w:rPr>
        <w:t>〔</w:t>
      </w:r>
      <w:r>
        <w:rPr>
          <w:rFonts w:hint="eastAsia" w:ascii="仿宋_GB2312" w:hAnsi="仿宋_GB2312" w:eastAsia="仿宋_GB2312" w:cs="仿宋_GB2312"/>
          <w:spacing w:val="7"/>
          <w:sz w:val="32"/>
          <w:szCs w:val="32"/>
          <w:lang w:val="en-US" w:eastAsia="zh-CN"/>
        </w:rPr>
        <w:t>2022</w:t>
      </w:r>
      <w:r>
        <w:rPr>
          <w:rFonts w:hint="eastAsia" w:ascii="方正隶书_GBK" w:hAnsi="方正隶书_GBK" w:eastAsia="方正隶书_GBK" w:cs="方正隶书_GBK"/>
          <w:spacing w:val="7"/>
          <w:sz w:val="32"/>
          <w:szCs w:val="32"/>
          <w:lang w:val="en-US" w:eastAsia="zh-CN"/>
        </w:rPr>
        <w:t>〕</w:t>
      </w:r>
      <w:r>
        <w:rPr>
          <w:rFonts w:hint="eastAsia" w:ascii="仿宋_GB2312" w:hAnsi="仿宋_GB2312" w:eastAsia="仿宋_GB2312" w:cs="仿宋_GB2312"/>
          <w:spacing w:val="7"/>
          <w:sz w:val="32"/>
          <w:szCs w:val="32"/>
          <w:lang w:val="en-US" w:eastAsia="zh-CN"/>
        </w:rPr>
        <w:t>13号</w:t>
      </w:r>
      <w:r>
        <w:rPr>
          <w:rFonts w:hint="eastAsia" w:ascii="仿宋_GB2312" w:hAnsi="仿宋_GB2312" w:eastAsia="仿宋_GB2312" w:cs="仿宋_GB2312"/>
          <w:spacing w:val="7"/>
          <w:sz w:val="32"/>
          <w:szCs w:val="32"/>
          <w:lang w:eastAsia="zh-CN"/>
        </w:rPr>
        <w:t>），</w:t>
      </w:r>
      <w:r>
        <w:rPr>
          <w:rFonts w:hint="eastAsia" w:ascii="仿宋" w:hAnsi="仿宋" w:eastAsia="仿宋" w:cs="仿宋"/>
          <w:color w:val="auto"/>
          <w:sz w:val="32"/>
          <w:szCs w:val="32"/>
          <w:lang w:eastAsia="zh-CN"/>
        </w:rPr>
        <w:t>对江门、惠州、肇庆市和粤东粤西粤北地区政府性融资担保机构，2022年新增的单户担保金额1000万元以下、平均年化担保费率不超过（含）1%的小微企业融资担保业务，按业务发生额的1%给予补助</w:t>
      </w:r>
      <w:r>
        <w:rPr>
          <w:rFonts w:hint="eastAsia" w:ascii="仿宋_GB2312" w:hAnsi="仿宋_GB2312" w:eastAsia="仿宋_GB2312" w:cs="仿宋_GB2312"/>
          <w:spacing w:val="7"/>
          <w:sz w:val="32"/>
          <w:szCs w:val="32"/>
          <w:lang w:eastAsia="zh-CN"/>
        </w:rPr>
        <w:t>（下称</w:t>
      </w:r>
      <w:r>
        <w:rPr>
          <w:rFonts w:hint="eastAsia" w:ascii="仿宋_GB2312" w:hAnsi="仿宋_GB2312" w:eastAsia="仿宋_GB2312" w:cs="仿宋_GB2312"/>
          <w:spacing w:val="7"/>
          <w:sz w:val="32"/>
          <w:szCs w:val="32"/>
        </w:rPr>
        <w:t>小微企业融资担保降费补助</w:t>
      </w:r>
      <w:r>
        <w:rPr>
          <w:rFonts w:hint="eastAsia" w:ascii="仿宋_GB2312" w:hAnsi="仿宋_GB2312" w:eastAsia="仿宋_GB2312" w:cs="仿宋_GB2312"/>
          <w:spacing w:val="7"/>
          <w:sz w:val="32"/>
          <w:szCs w:val="32"/>
          <w:lang w:eastAsia="zh-CN"/>
        </w:rPr>
        <w:t>）</w:t>
      </w:r>
      <w:r>
        <w:rPr>
          <w:rFonts w:hint="eastAsia" w:ascii="仿宋" w:hAnsi="仿宋" w:eastAsia="仿宋" w:cs="仿宋"/>
          <w:color w:val="auto"/>
          <w:sz w:val="32"/>
          <w:szCs w:val="32"/>
          <w:lang w:eastAsia="zh-CN"/>
        </w:rPr>
        <w:t>。</w:t>
      </w:r>
    </w:p>
    <w:p>
      <w:pPr>
        <w:keepNext w:val="0"/>
        <w:keepLines w:val="0"/>
        <w:pageBreakBefore w:val="0"/>
        <w:widowControl w:val="0"/>
        <w:kinsoku/>
        <w:wordWrap/>
        <w:overflowPunct/>
        <w:topLinePunct w:val="0"/>
        <w:autoSpaceDE w:val="0"/>
        <w:autoSpaceDN w:val="0"/>
        <w:bidi w:val="0"/>
        <w:adjustRightInd w:val="0"/>
        <w:snapToGrid w:val="0"/>
        <w:spacing w:line="620" w:lineRule="exact"/>
        <w:ind w:right="0" w:firstLine="668" w:firstLineChars="200"/>
        <w:jc w:val="both"/>
        <w:textAlignment w:val="baseline"/>
        <w:outlineLvl w:val="1"/>
        <w:rPr>
          <w:rFonts w:hint="eastAsia" w:ascii="楷体_GB2312" w:hAnsi="楷体_GB2312" w:eastAsia="楷体_GB2312" w:cs="楷体_GB2312"/>
          <w:b w:val="0"/>
          <w:bCs w:val="0"/>
          <w:color w:val="auto"/>
          <w:spacing w:val="7"/>
          <w:kern w:val="0"/>
          <w:sz w:val="32"/>
          <w:szCs w:val="32"/>
          <w:lang w:val="en-US" w:eastAsia="zh-CN" w:bidi="ar-SA"/>
        </w:rPr>
      </w:pPr>
      <w:bookmarkStart w:id="3" w:name="_Toc19857"/>
      <w:r>
        <w:rPr>
          <w:rFonts w:hint="eastAsia" w:ascii="楷体_GB2312" w:hAnsi="楷体_GB2312" w:eastAsia="楷体_GB2312" w:cs="楷体_GB2312"/>
          <w:b w:val="0"/>
          <w:bCs w:val="0"/>
          <w:color w:val="auto"/>
          <w:spacing w:val="7"/>
          <w:kern w:val="0"/>
          <w:sz w:val="32"/>
          <w:szCs w:val="32"/>
          <w:lang w:val="en-US" w:eastAsia="zh-CN" w:bidi="ar-SA"/>
        </w:rPr>
        <w:t>（二）专项资金安排情况</w:t>
      </w:r>
      <w:bookmarkEnd w:id="3"/>
    </w:p>
    <w:p>
      <w:pPr>
        <w:keepNext w:val="0"/>
        <w:keepLines w:val="0"/>
        <w:pageBreakBefore w:val="0"/>
        <w:widowControl w:val="0"/>
        <w:kinsoku/>
        <w:wordWrap/>
        <w:overflowPunct/>
        <w:topLinePunct w:val="0"/>
        <w:autoSpaceDE w:val="0"/>
        <w:autoSpaceDN w:val="0"/>
        <w:bidi w:val="0"/>
        <w:adjustRightInd w:val="0"/>
        <w:snapToGrid w:val="0"/>
        <w:spacing w:line="620" w:lineRule="exact"/>
        <w:ind w:right="0" w:firstLine="640" w:firstLineChars="200"/>
        <w:jc w:val="left"/>
        <w:textAlignment w:val="baseline"/>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2022年5月30日，省财政安排专项资金2000万元，用于小微企业融资担保降费补助。</w:t>
      </w:r>
    </w:p>
    <w:p>
      <w:pPr>
        <w:keepNext w:val="0"/>
        <w:keepLines w:val="0"/>
        <w:pageBreakBefore w:val="0"/>
        <w:widowControl w:val="0"/>
        <w:kinsoku/>
        <w:wordWrap/>
        <w:overflowPunct/>
        <w:topLinePunct w:val="0"/>
        <w:autoSpaceDE w:val="0"/>
        <w:autoSpaceDN w:val="0"/>
        <w:bidi w:val="0"/>
        <w:adjustRightInd w:val="0"/>
        <w:snapToGrid w:val="0"/>
        <w:spacing w:line="620" w:lineRule="exact"/>
        <w:ind w:right="0" w:firstLine="640" w:firstLineChars="200"/>
        <w:jc w:val="left"/>
        <w:textAlignment w:val="baseline"/>
        <w:outlineLvl w:val="9"/>
        <w:rPr>
          <w:rFonts w:hint="eastAsia" w:ascii="仿宋_GB2312" w:hAnsi="仿宋_GB2312" w:eastAsia="仿宋_GB2312" w:cs="仿宋_GB2312"/>
          <w:b w:val="0"/>
          <w:bCs w:val="0"/>
          <w:color w:val="auto"/>
          <w:spacing w:val="7"/>
          <w:kern w:val="0"/>
          <w:sz w:val="32"/>
          <w:szCs w:val="32"/>
          <w:lang w:val="en-US" w:eastAsia="zh-CN" w:bidi="ar-SA"/>
        </w:rPr>
      </w:pPr>
      <w:r>
        <w:rPr>
          <w:rFonts w:hint="eastAsia" w:ascii="仿宋_GB2312" w:hAnsi="仿宋_GB2312" w:eastAsia="仿宋_GB2312" w:cs="仿宋_GB2312"/>
          <w:b w:val="0"/>
          <w:bCs w:val="0"/>
          <w:color w:val="auto"/>
          <w:sz w:val="32"/>
          <w:szCs w:val="32"/>
          <w:lang w:val="en-US" w:eastAsia="zh-CN"/>
        </w:rPr>
        <w:t>按照</w:t>
      </w:r>
      <w:r>
        <w:rPr>
          <w:rFonts w:hint="eastAsia" w:ascii="仿宋_GB2312" w:hAnsi="仿宋_GB2312" w:eastAsia="仿宋_GB2312" w:cs="仿宋_GB2312"/>
          <w:color w:val="auto"/>
          <w:sz w:val="32"/>
          <w:szCs w:val="32"/>
          <w:lang w:val="en-US" w:eastAsia="zh-CN"/>
        </w:rPr>
        <w:t>《2022年广东省小微企业融资担保降费补助资金申报工作指引》（粤金监〔2022〕39号 ）</w:t>
      </w:r>
      <w:r>
        <w:rPr>
          <w:rFonts w:hint="eastAsia" w:ascii="仿宋_GB2312" w:hAnsi="仿宋_GB2312" w:eastAsia="仿宋_GB2312" w:cs="仿宋_GB2312"/>
          <w:b w:val="0"/>
          <w:bCs w:val="0"/>
          <w:color w:val="auto"/>
          <w:sz w:val="32"/>
          <w:szCs w:val="32"/>
          <w:lang w:val="en-US" w:eastAsia="zh-CN"/>
        </w:rPr>
        <w:t>要求，江门、惠州、肇庆市和粤东粤西粤北地区合计15个地市19家政府性融资担保机构申报了该专项资金。我局根据资金申报要求，对各地市金融局提交的资料进行复核后，分三批次拨付资金。</w:t>
      </w:r>
      <w:bookmarkStart w:id="4" w:name="_Toc21486"/>
    </w:p>
    <w:p>
      <w:pPr>
        <w:keepNext w:val="0"/>
        <w:keepLines w:val="0"/>
        <w:pageBreakBefore w:val="0"/>
        <w:widowControl w:val="0"/>
        <w:kinsoku/>
        <w:wordWrap/>
        <w:overflowPunct/>
        <w:topLinePunct w:val="0"/>
        <w:autoSpaceDE w:val="0"/>
        <w:autoSpaceDN w:val="0"/>
        <w:bidi w:val="0"/>
        <w:adjustRightInd w:val="0"/>
        <w:snapToGrid w:val="0"/>
        <w:spacing w:line="620" w:lineRule="exact"/>
        <w:ind w:right="0" w:firstLine="668" w:firstLineChars="200"/>
        <w:jc w:val="both"/>
        <w:textAlignment w:val="baseline"/>
        <w:outlineLvl w:val="1"/>
        <w:rPr>
          <w:rFonts w:hint="default" w:ascii="楷体_GB2312" w:hAnsi="楷体_GB2312" w:eastAsia="楷体_GB2312" w:cs="楷体_GB2312"/>
          <w:b w:val="0"/>
          <w:bCs w:val="0"/>
          <w:color w:val="auto"/>
          <w:spacing w:val="7"/>
          <w:kern w:val="0"/>
          <w:sz w:val="32"/>
          <w:szCs w:val="32"/>
          <w:lang w:val="en-US" w:eastAsia="zh-CN" w:bidi="ar-SA"/>
        </w:rPr>
      </w:pPr>
      <w:r>
        <w:rPr>
          <w:rFonts w:hint="eastAsia" w:ascii="楷体_GB2312" w:hAnsi="楷体_GB2312" w:eastAsia="楷体_GB2312" w:cs="楷体_GB2312"/>
          <w:b w:val="0"/>
          <w:bCs w:val="0"/>
          <w:color w:val="auto"/>
          <w:spacing w:val="7"/>
          <w:kern w:val="0"/>
          <w:sz w:val="32"/>
          <w:szCs w:val="32"/>
          <w:lang w:val="en-US" w:eastAsia="zh-CN" w:bidi="ar-SA"/>
        </w:rPr>
        <w:t>（三）专项资金的绩效目标</w:t>
      </w:r>
      <w:bookmarkEnd w:id="4"/>
    </w:p>
    <w:p>
      <w:pPr>
        <w:keepNext w:val="0"/>
        <w:keepLines w:val="0"/>
        <w:pageBreakBefore w:val="0"/>
        <w:widowControl w:val="0"/>
        <w:kinsoku/>
        <w:wordWrap/>
        <w:overflowPunct/>
        <w:topLinePunct w:val="0"/>
        <w:autoSpaceDE w:val="0"/>
        <w:autoSpaceDN w:val="0"/>
        <w:bidi w:val="0"/>
        <w:adjustRightInd w:val="0"/>
        <w:snapToGrid w:val="0"/>
        <w:spacing w:line="620" w:lineRule="exact"/>
        <w:ind w:right="0" w:firstLine="642" w:firstLineChars="200"/>
        <w:jc w:val="both"/>
        <w:textAlignment w:val="baseline"/>
        <w:outlineLvl w:val="9"/>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1.总体绩效目标</w:t>
      </w:r>
    </w:p>
    <w:p>
      <w:pPr>
        <w:keepNext w:val="0"/>
        <w:keepLines w:val="0"/>
        <w:pageBreakBefore w:val="0"/>
        <w:widowControl w:val="0"/>
        <w:kinsoku/>
        <w:wordWrap/>
        <w:overflowPunct/>
        <w:topLinePunct w:val="0"/>
        <w:autoSpaceDE w:val="0"/>
        <w:autoSpaceDN w:val="0"/>
        <w:bidi w:val="0"/>
        <w:adjustRightInd w:val="0"/>
        <w:snapToGrid w:val="0"/>
        <w:spacing w:line="620" w:lineRule="exact"/>
        <w:ind w:right="0" w:firstLine="640" w:firstLineChars="200"/>
        <w:jc w:val="both"/>
        <w:textAlignment w:val="baseline"/>
        <w:outlineLvl w:val="9"/>
        <w:rPr>
          <w:rFonts w:hint="default" w:ascii="仿宋" w:hAnsi="仿宋" w:eastAsia="仿宋" w:cs="仿宋"/>
          <w:color w:val="auto"/>
          <w:sz w:val="32"/>
          <w:szCs w:val="32"/>
          <w:lang w:val="en-US" w:eastAsia="zh-CN"/>
        </w:rPr>
      </w:pPr>
      <w:r>
        <w:rPr>
          <w:rFonts w:hint="default" w:ascii="仿宋" w:hAnsi="仿宋" w:eastAsia="仿宋" w:cs="仿宋"/>
          <w:color w:val="auto"/>
          <w:sz w:val="32"/>
          <w:szCs w:val="32"/>
          <w:lang w:val="en-US" w:eastAsia="zh-CN"/>
        </w:rPr>
        <w:t>引导各级政府性融资担保机构进一步扩大小微企</w:t>
      </w:r>
      <w:bookmarkStart w:id="10" w:name="_GoBack"/>
      <w:bookmarkEnd w:id="10"/>
      <w:r>
        <w:rPr>
          <w:rFonts w:hint="default" w:ascii="仿宋" w:hAnsi="仿宋" w:eastAsia="仿宋" w:cs="仿宋"/>
          <w:color w:val="auto"/>
          <w:sz w:val="32"/>
          <w:szCs w:val="32"/>
          <w:lang w:val="en-US" w:eastAsia="zh-CN"/>
        </w:rPr>
        <w:t>业融资担保业务规模、降低小微企业融资担保成本，更好发挥省级财政资金的引导作用。</w:t>
      </w:r>
    </w:p>
    <w:p>
      <w:pPr>
        <w:keepNext w:val="0"/>
        <w:keepLines w:val="0"/>
        <w:pageBreakBefore w:val="0"/>
        <w:widowControl w:val="0"/>
        <w:kinsoku/>
        <w:wordWrap/>
        <w:overflowPunct/>
        <w:topLinePunct w:val="0"/>
        <w:autoSpaceDE w:val="0"/>
        <w:autoSpaceDN w:val="0"/>
        <w:bidi w:val="0"/>
        <w:adjustRightInd w:val="0"/>
        <w:snapToGrid w:val="0"/>
        <w:spacing w:line="620" w:lineRule="exact"/>
        <w:ind w:right="0" w:firstLine="642" w:firstLineChars="200"/>
        <w:jc w:val="both"/>
        <w:textAlignment w:val="baseline"/>
        <w:outlineLvl w:val="9"/>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2.绩效指标及指标值</w:t>
      </w:r>
    </w:p>
    <w:p>
      <w:pPr>
        <w:keepNext w:val="0"/>
        <w:keepLines w:val="0"/>
        <w:pageBreakBefore w:val="0"/>
        <w:widowControl/>
        <w:kinsoku w:val="0"/>
        <w:wordWrap/>
        <w:overflowPunct/>
        <w:topLinePunct w:val="0"/>
        <w:autoSpaceDE w:val="0"/>
        <w:autoSpaceDN w:val="0"/>
        <w:bidi w:val="0"/>
        <w:adjustRightInd w:val="0"/>
        <w:snapToGrid w:val="0"/>
        <w:spacing w:line="620" w:lineRule="exact"/>
        <w:ind w:right="0" w:firstLine="0"/>
        <w:jc w:val="center"/>
        <w:textAlignment w:val="baseline"/>
        <w:outlineLvl w:val="9"/>
        <w:rPr>
          <w:rFonts w:hint="default"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绩效指标明细表</w:t>
      </w:r>
    </w:p>
    <w:tbl>
      <w:tblPr>
        <w:tblStyle w:val="9"/>
        <w:tblW w:w="95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0"/>
        <w:gridCol w:w="1775"/>
        <w:gridCol w:w="2075"/>
        <w:gridCol w:w="3200"/>
        <w:gridCol w:w="1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060" w:type="dxa"/>
            <w:vMerge w:val="restart"/>
            <w:vAlign w:val="center"/>
          </w:tcPr>
          <w:p>
            <w:pPr>
              <w:widowControl w:val="0"/>
              <w:spacing w:before="114" w:line="371" w:lineRule="auto"/>
              <w:ind w:right="125"/>
              <w:jc w:val="center"/>
              <w:rPr>
                <w:rFonts w:hint="eastAsia" w:ascii="仿宋" w:hAnsi="仿宋" w:eastAsia="仿宋" w:cs="仿宋"/>
                <w:color w:val="auto"/>
                <w:sz w:val="28"/>
                <w:szCs w:val="28"/>
                <w:vertAlign w:val="baseline"/>
                <w:lang w:val="en-US" w:eastAsia="zh-CN"/>
              </w:rPr>
            </w:pPr>
            <w:r>
              <w:rPr>
                <w:rFonts w:hint="eastAsia" w:ascii="仿宋" w:hAnsi="仿宋" w:eastAsia="仿宋" w:cs="仿宋"/>
                <w:b/>
                <w:bCs/>
                <w:color w:val="auto"/>
                <w:sz w:val="28"/>
                <w:szCs w:val="28"/>
                <w:vertAlign w:val="baseline"/>
                <w:lang w:val="en-US" w:eastAsia="zh-CN"/>
              </w:rPr>
              <w:t>绩效指标</w:t>
            </w:r>
          </w:p>
        </w:tc>
        <w:tc>
          <w:tcPr>
            <w:tcW w:w="1775" w:type="dxa"/>
            <w:vAlign w:val="center"/>
          </w:tcPr>
          <w:p>
            <w:pPr>
              <w:widowControl w:val="0"/>
              <w:spacing w:before="114" w:line="371" w:lineRule="auto"/>
              <w:ind w:right="125"/>
              <w:jc w:val="center"/>
              <w:rPr>
                <w:rFonts w:hint="eastAsia" w:ascii="仿宋" w:hAnsi="仿宋" w:eastAsia="仿宋" w:cs="仿宋"/>
                <w:b/>
                <w:bCs/>
                <w:color w:val="auto"/>
                <w:sz w:val="28"/>
                <w:szCs w:val="28"/>
                <w:vertAlign w:val="baseline"/>
                <w:lang w:val="en-US" w:eastAsia="zh-CN"/>
              </w:rPr>
            </w:pPr>
            <w:r>
              <w:rPr>
                <w:rFonts w:hint="eastAsia" w:ascii="仿宋" w:hAnsi="仿宋" w:eastAsia="仿宋" w:cs="仿宋"/>
                <w:b/>
                <w:bCs/>
                <w:color w:val="auto"/>
                <w:sz w:val="28"/>
                <w:szCs w:val="28"/>
                <w:vertAlign w:val="baseline"/>
                <w:lang w:val="en-US" w:eastAsia="zh-CN"/>
              </w:rPr>
              <w:t>一级指标</w:t>
            </w:r>
          </w:p>
        </w:tc>
        <w:tc>
          <w:tcPr>
            <w:tcW w:w="2075" w:type="dxa"/>
            <w:vAlign w:val="center"/>
          </w:tcPr>
          <w:p>
            <w:pPr>
              <w:widowControl w:val="0"/>
              <w:spacing w:before="114" w:line="371" w:lineRule="auto"/>
              <w:ind w:right="125"/>
              <w:jc w:val="center"/>
              <w:rPr>
                <w:rFonts w:hint="eastAsia" w:ascii="仿宋" w:hAnsi="仿宋" w:eastAsia="仿宋" w:cs="仿宋"/>
                <w:b/>
                <w:bCs/>
                <w:color w:val="auto"/>
                <w:sz w:val="28"/>
                <w:szCs w:val="28"/>
                <w:vertAlign w:val="baseline"/>
                <w:lang w:val="en-US" w:eastAsia="zh-CN"/>
              </w:rPr>
            </w:pPr>
            <w:r>
              <w:rPr>
                <w:rFonts w:hint="eastAsia" w:ascii="仿宋" w:hAnsi="仿宋" w:eastAsia="仿宋" w:cs="仿宋"/>
                <w:b/>
                <w:bCs/>
                <w:color w:val="auto"/>
                <w:sz w:val="28"/>
                <w:szCs w:val="28"/>
                <w:vertAlign w:val="baseline"/>
                <w:lang w:val="en-US" w:eastAsia="zh-CN"/>
              </w:rPr>
              <w:t>二级指标</w:t>
            </w:r>
          </w:p>
        </w:tc>
        <w:tc>
          <w:tcPr>
            <w:tcW w:w="3200" w:type="dxa"/>
            <w:vAlign w:val="center"/>
          </w:tcPr>
          <w:p>
            <w:pPr>
              <w:widowControl w:val="0"/>
              <w:spacing w:before="114" w:line="371" w:lineRule="auto"/>
              <w:ind w:right="125"/>
              <w:jc w:val="center"/>
              <w:rPr>
                <w:rFonts w:hint="eastAsia" w:ascii="仿宋" w:hAnsi="仿宋" w:eastAsia="仿宋" w:cs="仿宋"/>
                <w:b/>
                <w:bCs/>
                <w:color w:val="auto"/>
                <w:sz w:val="28"/>
                <w:szCs w:val="28"/>
                <w:vertAlign w:val="baseline"/>
                <w:lang w:val="en-US" w:eastAsia="zh-CN"/>
              </w:rPr>
            </w:pPr>
            <w:r>
              <w:rPr>
                <w:rFonts w:hint="eastAsia" w:ascii="仿宋" w:hAnsi="仿宋" w:eastAsia="仿宋" w:cs="仿宋"/>
                <w:b/>
                <w:bCs/>
                <w:color w:val="auto"/>
                <w:sz w:val="28"/>
                <w:szCs w:val="28"/>
                <w:vertAlign w:val="baseline"/>
                <w:lang w:val="en-US" w:eastAsia="zh-CN"/>
              </w:rPr>
              <w:t>三级指标</w:t>
            </w:r>
          </w:p>
        </w:tc>
        <w:tc>
          <w:tcPr>
            <w:tcW w:w="1400" w:type="dxa"/>
            <w:vAlign w:val="center"/>
          </w:tcPr>
          <w:p>
            <w:pPr>
              <w:widowControl w:val="0"/>
              <w:spacing w:before="114" w:line="371" w:lineRule="auto"/>
              <w:ind w:right="125"/>
              <w:jc w:val="center"/>
              <w:rPr>
                <w:rFonts w:hint="eastAsia" w:ascii="仿宋" w:hAnsi="仿宋" w:eastAsia="仿宋" w:cs="仿宋"/>
                <w:b/>
                <w:bCs/>
                <w:color w:val="auto"/>
                <w:sz w:val="28"/>
                <w:szCs w:val="28"/>
                <w:vertAlign w:val="baseline"/>
                <w:lang w:val="en-US" w:eastAsia="zh-CN"/>
              </w:rPr>
            </w:pPr>
            <w:r>
              <w:rPr>
                <w:rFonts w:hint="eastAsia" w:ascii="仿宋" w:hAnsi="仿宋" w:eastAsia="仿宋" w:cs="仿宋"/>
                <w:b/>
                <w:bCs/>
                <w:color w:val="auto"/>
                <w:sz w:val="28"/>
                <w:szCs w:val="28"/>
                <w:vertAlign w:val="baseline"/>
                <w:lang w:val="en-US" w:eastAsia="zh-CN"/>
              </w:rPr>
              <w:t>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vMerge w:val="continue"/>
          </w:tcPr>
          <w:p>
            <w:pPr>
              <w:widowControl w:val="0"/>
              <w:spacing w:before="114" w:line="371" w:lineRule="auto"/>
              <w:ind w:right="125"/>
              <w:jc w:val="both"/>
              <w:rPr>
                <w:rFonts w:hint="eastAsia" w:ascii="仿宋" w:hAnsi="仿宋" w:eastAsia="仿宋" w:cs="仿宋"/>
                <w:color w:val="auto"/>
                <w:sz w:val="28"/>
                <w:szCs w:val="28"/>
                <w:vertAlign w:val="baseline"/>
                <w:lang w:val="en-US" w:eastAsia="zh-CN"/>
              </w:rPr>
            </w:pPr>
          </w:p>
        </w:tc>
        <w:tc>
          <w:tcPr>
            <w:tcW w:w="1775" w:type="dxa"/>
            <w:vMerge w:val="restart"/>
            <w:vAlign w:val="center"/>
          </w:tcPr>
          <w:p>
            <w:pPr>
              <w:widowControl w:val="0"/>
              <w:spacing w:before="114" w:line="371" w:lineRule="auto"/>
              <w:ind w:right="125"/>
              <w:jc w:val="center"/>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产出指标</w:t>
            </w:r>
          </w:p>
        </w:tc>
        <w:tc>
          <w:tcPr>
            <w:tcW w:w="2075" w:type="dxa"/>
            <w:vMerge w:val="restart"/>
            <w:vAlign w:val="center"/>
          </w:tcPr>
          <w:p>
            <w:pPr>
              <w:keepNext w:val="0"/>
              <w:keepLines w:val="0"/>
              <w:widowControl/>
              <w:suppressLineNumbers w:val="0"/>
              <w:jc w:val="center"/>
              <w:rPr>
                <w:rFonts w:hint="eastAsia" w:ascii="仿宋" w:hAnsi="仿宋" w:eastAsia="仿宋" w:cs="仿宋"/>
                <w:color w:val="auto"/>
                <w:sz w:val="28"/>
                <w:szCs w:val="28"/>
                <w:vertAlign w:val="baseline"/>
                <w:lang w:val="en-US" w:eastAsia="zh-CN"/>
              </w:rPr>
            </w:pPr>
            <w:r>
              <w:rPr>
                <w:rFonts w:hint="eastAsia" w:ascii="仿宋" w:hAnsi="仿宋" w:eastAsia="仿宋" w:cs="仿宋"/>
                <w:snapToGrid w:val="0"/>
                <w:color w:val="auto"/>
                <w:kern w:val="0"/>
                <w:sz w:val="28"/>
                <w:szCs w:val="28"/>
                <w:lang w:val="en-US" w:eastAsia="zh-CN" w:bidi="ar"/>
              </w:rPr>
              <w:t>数量指标</w:t>
            </w:r>
          </w:p>
        </w:tc>
        <w:tc>
          <w:tcPr>
            <w:tcW w:w="3200" w:type="dxa"/>
          </w:tcPr>
          <w:p>
            <w:pPr>
              <w:widowControl w:val="0"/>
              <w:spacing w:before="114" w:line="371" w:lineRule="auto"/>
              <w:ind w:right="125"/>
              <w:jc w:val="both"/>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新增小微企业贷款额</w:t>
            </w:r>
          </w:p>
        </w:tc>
        <w:tc>
          <w:tcPr>
            <w:tcW w:w="1400" w:type="dxa"/>
            <w:vAlign w:val="center"/>
          </w:tcPr>
          <w:p>
            <w:pPr>
              <w:widowControl w:val="0"/>
              <w:spacing w:before="114" w:line="371" w:lineRule="auto"/>
              <w:ind w:right="125"/>
              <w:jc w:val="center"/>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20亿元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vMerge w:val="continue"/>
          </w:tcPr>
          <w:p>
            <w:pPr>
              <w:widowControl w:val="0"/>
              <w:spacing w:before="114" w:line="371" w:lineRule="auto"/>
              <w:ind w:right="125"/>
              <w:jc w:val="both"/>
              <w:rPr>
                <w:rFonts w:hint="eastAsia" w:ascii="仿宋" w:hAnsi="仿宋" w:eastAsia="仿宋" w:cs="仿宋"/>
                <w:color w:val="auto"/>
                <w:sz w:val="28"/>
                <w:szCs w:val="28"/>
                <w:vertAlign w:val="baseline"/>
                <w:lang w:val="en-US" w:eastAsia="zh-CN"/>
              </w:rPr>
            </w:pPr>
          </w:p>
        </w:tc>
        <w:tc>
          <w:tcPr>
            <w:tcW w:w="1775" w:type="dxa"/>
            <w:vMerge w:val="continue"/>
            <w:vAlign w:val="center"/>
          </w:tcPr>
          <w:p>
            <w:pPr>
              <w:widowControl w:val="0"/>
              <w:spacing w:before="114" w:line="371" w:lineRule="auto"/>
              <w:ind w:right="125"/>
              <w:jc w:val="center"/>
              <w:rPr>
                <w:rFonts w:hint="eastAsia" w:ascii="仿宋" w:hAnsi="仿宋" w:eastAsia="仿宋" w:cs="仿宋"/>
                <w:color w:val="auto"/>
                <w:sz w:val="28"/>
                <w:szCs w:val="28"/>
                <w:vertAlign w:val="baseline"/>
                <w:lang w:val="en-US" w:eastAsia="zh-CN"/>
              </w:rPr>
            </w:pPr>
          </w:p>
        </w:tc>
        <w:tc>
          <w:tcPr>
            <w:tcW w:w="2075" w:type="dxa"/>
            <w:vMerge w:val="continue"/>
            <w:vAlign w:val="center"/>
          </w:tcPr>
          <w:p>
            <w:pPr>
              <w:widowControl w:val="0"/>
              <w:spacing w:before="114" w:line="371" w:lineRule="auto"/>
              <w:ind w:right="125"/>
              <w:jc w:val="center"/>
              <w:rPr>
                <w:rFonts w:hint="eastAsia" w:ascii="仿宋" w:hAnsi="仿宋" w:eastAsia="仿宋" w:cs="仿宋"/>
                <w:color w:val="auto"/>
                <w:sz w:val="28"/>
                <w:szCs w:val="28"/>
                <w:vertAlign w:val="baseline"/>
                <w:lang w:val="en-US" w:eastAsia="zh-CN"/>
              </w:rPr>
            </w:pPr>
          </w:p>
        </w:tc>
        <w:tc>
          <w:tcPr>
            <w:tcW w:w="3200" w:type="dxa"/>
          </w:tcPr>
          <w:p>
            <w:pPr>
              <w:widowControl w:val="0"/>
              <w:spacing w:before="114" w:line="371" w:lineRule="auto"/>
              <w:ind w:right="125"/>
              <w:jc w:val="both"/>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小微企业年化担保费率</w:t>
            </w:r>
          </w:p>
        </w:tc>
        <w:tc>
          <w:tcPr>
            <w:tcW w:w="1400" w:type="dxa"/>
            <w:vAlign w:val="center"/>
          </w:tcPr>
          <w:p>
            <w:pPr>
              <w:widowControl w:val="0"/>
              <w:spacing w:before="114" w:line="371" w:lineRule="auto"/>
              <w:ind w:right="125"/>
              <w:jc w:val="center"/>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60" w:type="dxa"/>
            <w:vMerge w:val="continue"/>
          </w:tcPr>
          <w:p>
            <w:pPr>
              <w:widowControl w:val="0"/>
              <w:spacing w:before="114" w:line="371" w:lineRule="auto"/>
              <w:ind w:right="125"/>
              <w:jc w:val="both"/>
              <w:rPr>
                <w:rFonts w:hint="eastAsia" w:ascii="仿宋" w:hAnsi="仿宋" w:eastAsia="仿宋" w:cs="仿宋"/>
                <w:color w:val="auto"/>
                <w:sz w:val="28"/>
                <w:szCs w:val="28"/>
                <w:vertAlign w:val="baseline"/>
                <w:lang w:val="en-US" w:eastAsia="zh-CN"/>
              </w:rPr>
            </w:pPr>
          </w:p>
        </w:tc>
        <w:tc>
          <w:tcPr>
            <w:tcW w:w="1775" w:type="dxa"/>
            <w:vMerge w:val="restart"/>
            <w:vAlign w:val="center"/>
          </w:tcPr>
          <w:p>
            <w:pPr>
              <w:widowControl w:val="0"/>
              <w:spacing w:before="114" w:line="371" w:lineRule="auto"/>
              <w:ind w:right="125"/>
              <w:jc w:val="center"/>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效益指标</w:t>
            </w:r>
          </w:p>
        </w:tc>
        <w:tc>
          <w:tcPr>
            <w:tcW w:w="2075" w:type="dxa"/>
            <w:vAlign w:val="center"/>
          </w:tcPr>
          <w:p>
            <w:pPr>
              <w:keepNext w:val="0"/>
              <w:keepLines w:val="0"/>
              <w:widowControl/>
              <w:suppressLineNumbers w:val="0"/>
              <w:jc w:val="center"/>
              <w:rPr>
                <w:rFonts w:hint="eastAsia" w:ascii="仿宋" w:hAnsi="仿宋" w:eastAsia="仿宋" w:cs="仿宋"/>
                <w:color w:val="auto"/>
                <w:sz w:val="28"/>
                <w:szCs w:val="28"/>
                <w:vertAlign w:val="baseline"/>
                <w:lang w:val="en-US" w:eastAsia="zh-CN"/>
              </w:rPr>
            </w:pPr>
            <w:r>
              <w:rPr>
                <w:rFonts w:hint="eastAsia" w:ascii="仿宋" w:hAnsi="仿宋" w:eastAsia="仿宋" w:cs="仿宋"/>
                <w:snapToGrid w:val="0"/>
                <w:color w:val="auto"/>
                <w:kern w:val="0"/>
                <w:sz w:val="28"/>
                <w:szCs w:val="28"/>
                <w:lang w:val="en-US" w:eastAsia="zh-CN" w:bidi="ar"/>
              </w:rPr>
              <w:t>经济效益指标</w:t>
            </w:r>
          </w:p>
        </w:tc>
        <w:tc>
          <w:tcPr>
            <w:tcW w:w="3200" w:type="dxa"/>
          </w:tcPr>
          <w:p>
            <w:pPr>
              <w:widowControl w:val="0"/>
              <w:spacing w:before="114" w:line="371" w:lineRule="auto"/>
              <w:ind w:right="125"/>
              <w:jc w:val="both"/>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是否增加小微企业融资担保业务（是/否）</w:t>
            </w:r>
          </w:p>
        </w:tc>
        <w:tc>
          <w:tcPr>
            <w:tcW w:w="1400" w:type="dxa"/>
            <w:vAlign w:val="center"/>
          </w:tcPr>
          <w:p>
            <w:pPr>
              <w:widowControl w:val="0"/>
              <w:spacing w:before="114" w:line="371" w:lineRule="auto"/>
              <w:ind w:right="125"/>
              <w:jc w:val="center"/>
              <w:rPr>
                <w:rFonts w:hint="default"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vMerge w:val="continue"/>
          </w:tcPr>
          <w:p>
            <w:pPr>
              <w:widowControl w:val="0"/>
              <w:spacing w:before="114" w:line="371" w:lineRule="auto"/>
              <w:ind w:right="125"/>
              <w:jc w:val="both"/>
              <w:rPr>
                <w:rFonts w:hint="eastAsia" w:ascii="仿宋" w:hAnsi="仿宋" w:eastAsia="仿宋" w:cs="仿宋"/>
                <w:color w:val="auto"/>
                <w:sz w:val="28"/>
                <w:szCs w:val="28"/>
                <w:vertAlign w:val="baseline"/>
                <w:lang w:val="en-US" w:eastAsia="zh-CN"/>
              </w:rPr>
            </w:pPr>
          </w:p>
        </w:tc>
        <w:tc>
          <w:tcPr>
            <w:tcW w:w="1775" w:type="dxa"/>
            <w:vMerge w:val="continue"/>
            <w:vAlign w:val="center"/>
          </w:tcPr>
          <w:p>
            <w:pPr>
              <w:widowControl w:val="0"/>
              <w:spacing w:before="114" w:line="371" w:lineRule="auto"/>
              <w:ind w:right="125"/>
              <w:jc w:val="center"/>
              <w:rPr>
                <w:rFonts w:hint="eastAsia" w:ascii="仿宋" w:hAnsi="仿宋" w:eastAsia="仿宋" w:cs="仿宋"/>
                <w:color w:val="auto"/>
                <w:sz w:val="28"/>
                <w:szCs w:val="28"/>
                <w:vertAlign w:val="baseline"/>
                <w:lang w:val="en-US" w:eastAsia="zh-CN"/>
              </w:rPr>
            </w:pPr>
          </w:p>
        </w:tc>
        <w:tc>
          <w:tcPr>
            <w:tcW w:w="2075" w:type="dxa"/>
            <w:vAlign w:val="center"/>
          </w:tcPr>
          <w:p>
            <w:pPr>
              <w:keepNext w:val="0"/>
              <w:keepLines w:val="0"/>
              <w:widowControl/>
              <w:suppressLineNumbers w:val="0"/>
              <w:jc w:val="center"/>
              <w:rPr>
                <w:rFonts w:hint="eastAsia" w:ascii="仿宋" w:hAnsi="仿宋" w:eastAsia="仿宋" w:cs="仿宋"/>
                <w:color w:val="auto"/>
                <w:sz w:val="28"/>
                <w:szCs w:val="28"/>
                <w:vertAlign w:val="baseline"/>
                <w:lang w:val="en-US" w:eastAsia="zh-CN"/>
              </w:rPr>
            </w:pPr>
            <w:r>
              <w:rPr>
                <w:rFonts w:hint="eastAsia" w:ascii="仿宋" w:hAnsi="仿宋" w:eastAsia="仿宋" w:cs="仿宋"/>
                <w:snapToGrid w:val="0"/>
                <w:color w:val="auto"/>
                <w:kern w:val="0"/>
                <w:sz w:val="28"/>
                <w:szCs w:val="28"/>
                <w:lang w:val="en-US" w:eastAsia="zh-CN" w:bidi="ar"/>
              </w:rPr>
              <w:t>社会效益指标</w:t>
            </w:r>
          </w:p>
        </w:tc>
        <w:tc>
          <w:tcPr>
            <w:tcW w:w="3200" w:type="dxa"/>
          </w:tcPr>
          <w:p>
            <w:pPr>
              <w:widowControl w:val="0"/>
              <w:spacing w:before="114" w:line="371" w:lineRule="auto"/>
              <w:ind w:right="125"/>
              <w:jc w:val="both"/>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是否降低小微企业融资成本（是/否）</w:t>
            </w:r>
          </w:p>
        </w:tc>
        <w:tc>
          <w:tcPr>
            <w:tcW w:w="1400" w:type="dxa"/>
            <w:vAlign w:val="center"/>
          </w:tcPr>
          <w:p>
            <w:pPr>
              <w:widowControl w:val="0"/>
              <w:spacing w:before="114" w:line="371" w:lineRule="auto"/>
              <w:ind w:right="125"/>
              <w:jc w:val="center"/>
              <w:rPr>
                <w:rFonts w:hint="default"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vMerge w:val="continue"/>
          </w:tcPr>
          <w:p>
            <w:pPr>
              <w:widowControl w:val="0"/>
              <w:spacing w:before="114" w:line="371" w:lineRule="auto"/>
              <w:ind w:right="125"/>
              <w:jc w:val="both"/>
              <w:rPr>
                <w:rFonts w:hint="eastAsia" w:ascii="仿宋" w:hAnsi="仿宋" w:eastAsia="仿宋" w:cs="仿宋"/>
                <w:color w:val="auto"/>
                <w:sz w:val="28"/>
                <w:szCs w:val="28"/>
                <w:vertAlign w:val="baseline"/>
                <w:lang w:val="en-US" w:eastAsia="zh-CN"/>
              </w:rPr>
            </w:pPr>
          </w:p>
        </w:tc>
        <w:tc>
          <w:tcPr>
            <w:tcW w:w="1775" w:type="dxa"/>
            <w:vAlign w:val="center"/>
          </w:tcPr>
          <w:p>
            <w:pPr>
              <w:widowControl w:val="0"/>
              <w:spacing w:before="114" w:line="371" w:lineRule="auto"/>
              <w:ind w:right="125"/>
              <w:jc w:val="center"/>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满意度</w:t>
            </w:r>
          </w:p>
        </w:tc>
        <w:tc>
          <w:tcPr>
            <w:tcW w:w="2075" w:type="dxa"/>
            <w:vAlign w:val="center"/>
          </w:tcPr>
          <w:p>
            <w:pPr>
              <w:widowControl w:val="0"/>
              <w:spacing w:before="114" w:line="371" w:lineRule="auto"/>
              <w:ind w:right="125"/>
              <w:jc w:val="center"/>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服务对象满意度指标</w:t>
            </w:r>
          </w:p>
        </w:tc>
        <w:tc>
          <w:tcPr>
            <w:tcW w:w="3200" w:type="dxa"/>
          </w:tcPr>
          <w:p>
            <w:pPr>
              <w:widowControl w:val="0"/>
              <w:spacing w:before="114" w:line="371" w:lineRule="auto"/>
              <w:ind w:right="125"/>
              <w:jc w:val="both"/>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受补助的担保机构满意度（%）</w:t>
            </w:r>
          </w:p>
        </w:tc>
        <w:tc>
          <w:tcPr>
            <w:tcW w:w="1400" w:type="dxa"/>
            <w:vAlign w:val="center"/>
          </w:tcPr>
          <w:p>
            <w:pPr>
              <w:widowControl w:val="0"/>
              <w:spacing w:before="114" w:line="371" w:lineRule="auto"/>
              <w:ind w:right="125"/>
              <w:jc w:val="center"/>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≥85</w:t>
            </w:r>
          </w:p>
        </w:tc>
      </w:tr>
    </w:tbl>
    <w:p>
      <w:pPr>
        <w:keepNext w:val="0"/>
        <w:keepLines w:val="0"/>
        <w:pageBreakBefore w:val="0"/>
        <w:widowControl w:val="0"/>
        <w:kinsoku/>
        <w:wordWrap/>
        <w:overflowPunct/>
        <w:topLinePunct w:val="0"/>
        <w:autoSpaceDE w:val="0"/>
        <w:autoSpaceDN w:val="0"/>
        <w:bidi w:val="0"/>
        <w:adjustRightInd w:val="0"/>
        <w:snapToGrid w:val="0"/>
        <w:spacing w:line="620" w:lineRule="exact"/>
        <w:ind w:right="0" w:firstLine="680" w:firstLineChars="200"/>
        <w:jc w:val="both"/>
        <w:textAlignment w:val="baseline"/>
        <w:rPr>
          <w:rFonts w:hint="eastAsia" w:ascii="黑体" w:hAnsi="黑体" w:eastAsia="黑体" w:cs="黑体"/>
          <w:b w:val="0"/>
          <w:bCs w:val="0"/>
          <w:color w:val="auto"/>
          <w:spacing w:val="10"/>
          <w:kern w:val="0"/>
          <w:position w:val="4"/>
          <w:sz w:val="32"/>
          <w:szCs w:val="32"/>
          <w:lang w:val="en-US" w:eastAsia="zh-CN" w:bidi="ar-SA"/>
        </w:rPr>
      </w:pPr>
      <w:bookmarkStart w:id="5" w:name="_Toc13003"/>
    </w:p>
    <w:p>
      <w:pPr>
        <w:keepNext w:val="0"/>
        <w:keepLines w:val="0"/>
        <w:pageBreakBefore w:val="0"/>
        <w:widowControl w:val="0"/>
        <w:kinsoku/>
        <w:wordWrap/>
        <w:overflowPunct/>
        <w:topLinePunct w:val="0"/>
        <w:autoSpaceDE w:val="0"/>
        <w:autoSpaceDN w:val="0"/>
        <w:bidi w:val="0"/>
        <w:adjustRightInd w:val="0"/>
        <w:snapToGrid w:val="0"/>
        <w:spacing w:line="620" w:lineRule="exact"/>
        <w:ind w:right="0" w:firstLine="680" w:firstLineChars="200"/>
        <w:jc w:val="both"/>
        <w:textAlignment w:val="baseline"/>
        <w:rPr>
          <w:rFonts w:hint="eastAsia" w:ascii="黑体" w:hAnsi="黑体" w:eastAsia="黑体" w:cs="黑体"/>
          <w:b w:val="0"/>
          <w:bCs w:val="0"/>
          <w:color w:val="auto"/>
          <w:spacing w:val="10"/>
          <w:kern w:val="0"/>
          <w:position w:val="4"/>
          <w:sz w:val="32"/>
          <w:szCs w:val="32"/>
          <w:lang w:val="en-US" w:eastAsia="zh-CN" w:bidi="ar-SA"/>
        </w:rPr>
      </w:pPr>
      <w:r>
        <w:rPr>
          <w:rFonts w:hint="eastAsia" w:ascii="黑体" w:hAnsi="黑体" w:eastAsia="黑体" w:cs="黑体"/>
          <w:b w:val="0"/>
          <w:bCs w:val="0"/>
          <w:color w:val="auto"/>
          <w:spacing w:val="10"/>
          <w:kern w:val="0"/>
          <w:position w:val="4"/>
          <w:sz w:val="32"/>
          <w:szCs w:val="32"/>
          <w:lang w:val="en-US" w:eastAsia="zh-CN" w:bidi="ar-SA"/>
        </w:rPr>
        <w:t>二、自评情况</w:t>
      </w:r>
      <w:bookmarkEnd w:id="5"/>
    </w:p>
    <w:p>
      <w:pPr>
        <w:keepNext w:val="0"/>
        <w:keepLines w:val="0"/>
        <w:pageBreakBefore w:val="0"/>
        <w:widowControl w:val="0"/>
        <w:kinsoku/>
        <w:wordWrap/>
        <w:overflowPunct/>
        <w:topLinePunct w:val="0"/>
        <w:autoSpaceDE w:val="0"/>
        <w:autoSpaceDN w:val="0"/>
        <w:bidi w:val="0"/>
        <w:adjustRightInd w:val="0"/>
        <w:snapToGrid w:val="0"/>
        <w:spacing w:line="620" w:lineRule="exact"/>
        <w:ind w:right="0" w:firstLine="668" w:firstLineChars="200"/>
        <w:jc w:val="both"/>
        <w:textAlignment w:val="baseline"/>
        <w:outlineLvl w:val="1"/>
        <w:rPr>
          <w:rFonts w:hint="eastAsia" w:ascii="楷体_GB2312" w:hAnsi="楷体_GB2312" w:eastAsia="楷体_GB2312" w:cs="楷体_GB2312"/>
          <w:b w:val="0"/>
          <w:bCs w:val="0"/>
          <w:color w:val="auto"/>
          <w:spacing w:val="7"/>
          <w:kern w:val="0"/>
          <w:sz w:val="32"/>
          <w:szCs w:val="32"/>
          <w:lang w:val="en-US" w:eastAsia="zh-CN" w:bidi="ar-SA"/>
        </w:rPr>
      </w:pPr>
      <w:bookmarkStart w:id="6" w:name="_Toc417"/>
      <w:r>
        <w:rPr>
          <w:rFonts w:hint="eastAsia" w:ascii="楷体_GB2312" w:hAnsi="楷体_GB2312" w:eastAsia="楷体_GB2312" w:cs="楷体_GB2312"/>
          <w:b w:val="0"/>
          <w:bCs w:val="0"/>
          <w:color w:val="auto"/>
          <w:spacing w:val="7"/>
          <w:kern w:val="0"/>
          <w:sz w:val="32"/>
          <w:szCs w:val="32"/>
          <w:lang w:val="en-US" w:eastAsia="zh-CN" w:bidi="ar-SA"/>
        </w:rPr>
        <w:t>（一）自评结论</w:t>
      </w:r>
      <w:bookmarkEnd w:id="6"/>
    </w:p>
    <w:p>
      <w:pPr>
        <w:keepNext w:val="0"/>
        <w:keepLines w:val="0"/>
        <w:pageBreakBefore w:val="0"/>
        <w:widowControl/>
        <w:kinsoku w:val="0"/>
        <w:wordWrap/>
        <w:overflowPunct/>
        <w:topLinePunct w:val="0"/>
        <w:autoSpaceDE w:val="0"/>
        <w:autoSpaceDN w:val="0"/>
        <w:bidi w:val="0"/>
        <w:adjustRightInd w:val="0"/>
        <w:snapToGrid w:val="0"/>
        <w:spacing w:line="620" w:lineRule="exact"/>
        <w:ind w:right="0" w:firstLine="640" w:firstLineChars="200"/>
        <w:jc w:val="both"/>
        <w:textAlignment w:val="baseline"/>
        <w:rPr>
          <w:rFonts w:hint="default"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2022年广东省小微企业融资担保降费补助已完成年初预定的绩效目标。</w:t>
      </w:r>
    </w:p>
    <w:p>
      <w:pPr>
        <w:keepNext w:val="0"/>
        <w:keepLines w:val="0"/>
        <w:pageBreakBefore w:val="0"/>
        <w:widowControl w:val="0"/>
        <w:kinsoku/>
        <w:wordWrap/>
        <w:overflowPunct/>
        <w:topLinePunct w:val="0"/>
        <w:autoSpaceDE w:val="0"/>
        <w:autoSpaceDN w:val="0"/>
        <w:bidi w:val="0"/>
        <w:adjustRightInd w:val="0"/>
        <w:snapToGrid w:val="0"/>
        <w:spacing w:line="620" w:lineRule="exact"/>
        <w:ind w:left="0" w:right="0" w:firstLine="668" w:firstLineChars="200"/>
        <w:jc w:val="both"/>
        <w:textAlignment w:val="baseline"/>
        <w:outlineLvl w:val="1"/>
        <w:rPr>
          <w:rFonts w:hint="eastAsia" w:ascii="楷体_GB2312" w:hAnsi="楷体_GB2312" w:eastAsia="楷体_GB2312" w:cs="楷体_GB2312"/>
          <w:b w:val="0"/>
          <w:bCs w:val="0"/>
          <w:color w:val="auto"/>
          <w:spacing w:val="7"/>
          <w:kern w:val="0"/>
          <w:sz w:val="32"/>
          <w:szCs w:val="32"/>
          <w:lang w:val="en-US" w:eastAsia="zh-CN" w:bidi="ar-SA"/>
        </w:rPr>
      </w:pPr>
      <w:bookmarkStart w:id="7" w:name="_Toc31443"/>
      <w:r>
        <w:rPr>
          <w:rFonts w:hint="eastAsia" w:ascii="楷体_GB2312" w:hAnsi="楷体_GB2312" w:eastAsia="楷体_GB2312" w:cs="楷体_GB2312"/>
          <w:b w:val="0"/>
          <w:bCs w:val="0"/>
          <w:color w:val="auto"/>
          <w:spacing w:val="7"/>
          <w:kern w:val="0"/>
          <w:sz w:val="32"/>
          <w:szCs w:val="32"/>
          <w:lang w:val="en-US" w:eastAsia="zh-CN" w:bidi="ar-SA"/>
        </w:rPr>
        <w:t>（二）专项资金使用绩效</w:t>
      </w:r>
      <w:bookmarkEnd w:id="7"/>
    </w:p>
    <w:p>
      <w:pPr>
        <w:keepNext w:val="0"/>
        <w:keepLines w:val="0"/>
        <w:pageBreakBefore w:val="0"/>
        <w:widowControl/>
        <w:kinsoku w:val="0"/>
        <w:wordWrap/>
        <w:overflowPunct/>
        <w:topLinePunct w:val="0"/>
        <w:autoSpaceDE w:val="0"/>
        <w:autoSpaceDN w:val="0"/>
        <w:bidi w:val="0"/>
        <w:adjustRightInd w:val="0"/>
        <w:snapToGrid w:val="0"/>
        <w:spacing w:line="620" w:lineRule="exact"/>
        <w:ind w:left="0" w:right="0" w:firstLine="682" w:firstLineChars="200"/>
        <w:jc w:val="both"/>
        <w:textAlignment w:val="baseline"/>
        <w:outlineLvl w:val="9"/>
        <w:rPr>
          <w:rFonts w:hint="eastAsia" w:ascii="仿宋" w:hAnsi="仿宋" w:eastAsia="仿宋" w:cs="仿宋"/>
          <w:b/>
          <w:bCs/>
          <w:color w:val="auto"/>
          <w:spacing w:val="10"/>
          <w:position w:val="4"/>
          <w:sz w:val="32"/>
          <w:szCs w:val="32"/>
          <w:highlight w:val="none"/>
        </w:rPr>
      </w:pPr>
      <w:r>
        <w:rPr>
          <w:rFonts w:hint="eastAsia" w:ascii="仿宋" w:hAnsi="仿宋" w:eastAsia="仿宋" w:cs="仿宋"/>
          <w:b/>
          <w:bCs/>
          <w:color w:val="auto"/>
          <w:spacing w:val="10"/>
          <w:position w:val="4"/>
          <w:sz w:val="32"/>
          <w:szCs w:val="32"/>
          <w:highlight w:val="none"/>
        </w:rPr>
        <w:t>1.专项资金支出情况</w:t>
      </w:r>
    </w:p>
    <w:p>
      <w:pPr>
        <w:keepNext w:val="0"/>
        <w:keepLines w:val="0"/>
        <w:pageBreakBefore w:val="0"/>
        <w:widowControl/>
        <w:kinsoku w:val="0"/>
        <w:wordWrap/>
        <w:overflowPunct/>
        <w:topLinePunct w:val="0"/>
        <w:autoSpaceDE w:val="0"/>
        <w:autoSpaceDN w:val="0"/>
        <w:bidi w:val="0"/>
        <w:adjustRightInd w:val="0"/>
        <w:snapToGrid w:val="0"/>
        <w:spacing w:line="620" w:lineRule="exact"/>
        <w:ind w:left="0" w:right="0" w:firstLine="676" w:firstLineChars="200"/>
        <w:jc w:val="both"/>
        <w:textAlignment w:val="baseline"/>
        <w:outlineLvl w:val="9"/>
        <w:rPr>
          <w:rFonts w:hint="default" w:ascii="仿宋" w:hAnsi="仿宋" w:eastAsia="仿宋" w:cs="仿宋"/>
          <w:color w:val="auto"/>
          <w:sz w:val="32"/>
          <w:szCs w:val="32"/>
          <w:highlight w:val="none"/>
          <w:lang w:val="en-US" w:eastAsia="zh-CN"/>
        </w:rPr>
      </w:pPr>
      <w:r>
        <w:rPr>
          <w:rFonts w:hint="eastAsia" w:ascii="仿宋_GB2312" w:hAnsi="仿宋_GB2312" w:eastAsia="仿宋_GB2312" w:cs="仿宋_GB2312"/>
          <w:spacing w:val="9"/>
          <w:sz w:val="32"/>
          <w:szCs w:val="32"/>
        </w:rPr>
        <w:t>我局</w:t>
      </w:r>
      <w:r>
        <w:rPr>
          <w:rFonts w:hint="eastAsia" w:ascii="仿宋_GB2312" w:hAnsi="仿宋_GB2312" w:eastAsia="仿宋_GB2312" w:cs="仿宋_GB2312"/>
          <w:spacing w:val="9"/>
          <w:sz w:val="32"/>
          <w:szCs w:val="32"/>
          <w:lang w:eastAsia="zh-CN"/>
        </w:rPr>
        <w:t>于</w:t>
      </w:r>
      <w:r>
        <w:rPr>
          <w:rFonts w:hint="eastAsia" w:ascii="仿宋_GB2312" w:hAnsi="仿宋_GB2312" w:eastAsia="仿宋_GB2312" w:cs="仿宋_GB2312"/>
          <w:spacing w:val="9"/>
          <w:sz w:val="32"/>
          <w:szCs w:val="32"/>
          <w:lang w:val="en-US" w:eastAsia="zh-CN"/>
        </w:rPr>
        <w:t>2022年5月30日收到省财政下达的专项资金2000万元</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val="en-US" w:eastAsia="zh-CN"/>
        </w:rPr>
        <w:t>2022年6月13日印发《2022年广东省小微企业融资担保降费补助资金申报工作指引》（粤金监〔2022〕39号 ），江门、惠州、肇庆市和粤东粤西粤北地区15个地市的19家政府性融资担保机构，依据上半年、第三季度、第四季度的业务发生情况分三批次申报补助资金，经所属地市金融局审核、我局复核后按要求拨付。截至绩效评价日，该专项资金支出完毕。</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620" w:lineRule="exact"/>
        <w:ind w:left="0" w:firstLine="682" w:firstLineChars="200"/>
        <w:jc w:val="both"/>
        <w:textAlignment w:val="baseline"/>
        <w:outlineLvl w:val="9"/>
        <w:rPr>
          <w:rFonts w:hint="eastAsia" w:ascii="仿宋" w:hAnsi="仿宋" w:eastAsia="仿宋" w:cs="仿宋"/>
          <w:b/>
          <w:bCs/>
          <w:color w:val="auto"/>
          <w:spacing w:val="10"/>
          <w:position w:val="4"/>
          <w:sz w:val="32"/>
          <w:szCs w:val="32"/>
          <w:highlight w:val="none"/>
        </w:rPr>
      </w:pPr>
      <w:r>
        <w:rPr>
          <w:rFonts w:hint="eastAsia" w:ascii="仿宋" w:hAnsi="仿宋" w:eastAsia="仿宋" w:cs="仿宋"/>
          <w:b/>
          <w:bCs/>
          <w:color w:val="auto"/>
          <w:spacing w:val="10"/>
          <w:position w:val="4"/>
          <w:sz w:val="32"/>
          <w:szCs w:val="32"/>
          <w:highlight w:val="none"/>
          <w:lang w:val="en-US" w:eastAsia="zh-CN"/>
        </w:rPr>
        <w:t>2.</w:t>
      </w:r>
      <w:r>
        <w:rPr>
          <w:rFonts w:hint="eastAsia" w:ascii="仿宋" w:hAnsi="仿宋" w:eastAsia="仿宋" w:cs="仿宋"/>
          <w:b/>
          <w:bCs/>
          <w:color w:val="auto"/>
          <w:spacing w:val="10"/>
          <w:position w:val="4"/>
          <w:sz w:val="32"/>
          <w:szCs w:val="32"/>
          <w:highlight w:val="none"/>
        </w:rPr>
        <w:t>专项资金绩效目标完成情况</w:t>
      </w:r>
    </w:p>
    <w:p>
      <w:pPr>
        <w:keepNext w:val="0"/>
        <w:keepLines w:val="0"/>
        <w:pageBreakBefore w:val="0"/>
        <w:widowControl w:val="0"/>
        <w:kinsoku/>
        <w:wordWrap/>
        <w:overflowPunct/>
        <w:topLinePunct w:val="0"/>
        <w:autoSpaceDE w:val="0"/>
        <w:autoSpaceDN w:val="0"/>
        <w:bidi w:val="0"/>
        <w:adjustRightInd w:val="0"/>
        <w:snapToGrid w:val="0"/>
        <w:spacing w:line="620" w:lineRule="exact"/>
        <w:ind w:left="0" w:firstLine="640" w:firstLineChars="200"/>
        <w:jc w:val="both"/>
        <w:textAlignment w:val="baseline"/>
        <w:outlineLvl w:val="9"/>
        <w:rPr>
          <w:rFonts w:hint="default"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（1）总体绩效目标完成情况</w:t>
      </w:r>
    </w:p>
    <w:p>
      <w:pPr>
        <w:keepNext w:val="0"/>
        <w:keepLines w:val="0"/>
        <w:pageBreakBefore w:val="0"/>
        <w:widowControl w:val="0"/>
        <w:kinsoku/>
        <w:wordWrap/>
        <w:overflowPunct/>
        <w:topLinePunct w:val="0"/>
        <w:autoSpaceDE w:val="0"/>
        <w:autoSpaceDN w:val="0"/>
        <w:bidi w:val="0"/>
        <w:adjustRightInd w:val="0"/>
        <w:snapToGrid w:val="0"/>
        <w:spacing w:line="620" w:lineRule="exact"/>
        <w:ind w:left="0" w:firstLine="640" w:firstLineChars="200"/>
        <w:jc w:val="both"/>
        <w:textAlignment w:val="baseline"/>
        <w:outlineLvl w:val="9"/>
        <w:rPr>
          <w:rFonts w:hint="default"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2022年广东省政府性融资担保机构融资担保金额824亿元、同比增长49.8%，担保户数8万户，同比增长37.97%。</w:t>
      </w:r>
    </w:p>
    <w:p>
      <w:pPr>
        <w:keepNext w:val="0"/>
        <w:keepLines w:val="0"/>
        <w:pageBreakBefore w:val="0"/>
        <w:widowControl w:val="0"/>
        <w:kinsoku/>
        <w:wordWrap/>
        <w:overflowPunct/>
        <w:topLinePunct w:val="0"/>
        <w:autoSpaceDE w:val="0"/>
        <w:autoSpaceDN w:val="0"/>
        <w:bidi w:val="0"/>
        <w:adjustRightInd w:val="0"/>
        <w:snapToGrid w:val="0"/>
        <w:spacing w:line="620" w:lineRule="exact"/>
        <w:ind w:left="0" w:firstLine="640" w:firstLineChars="20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完成了“引导各级政府性融资担保机构进一步扩大小微企业融资担保业务规模、降低小微企业融资担保成本，更好发挥省级财政资金的引导作用”的绩效目标。</w:t>
      </w:r>
    </w:p>
    <w:p>
      <w:pPr>
        <w:keepNext w:val="0"/>
        <w:keepLines w:val="0"/>
        <w:pageBreakBefore w:val="0"/>
        <w:widowControl w:val="0"/>
        <w:kinsoku/>
        <w:wordWrap/>
        <w:overflowPunct/>
        <w:topLinePunct w:val="0"/>
        <w:autoSpaceDE w:val="0"/>
        <w:autoSpaceDN w:val="0"/>
        <w:bidi w:val="0"/>
        <w:adjustRightInd w:val="0"/>
        <w:snapToGrid w:val="0"/>
        <w:spacing w:line="620" w:lineRule="exact"/>
        <w:ind w:left="0" w:firstLine="640" w:firstLineChars="200"/>
        <w:jc w:val="both"/>
        <w:textAlignment w:val="baseline"/>
        <w:rPr>
          <w:rFonts w:hint="default"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（2）根据广东省财政厅《广东省财政厅关于安排金融支持受疫情影响企业纾困和经济稳增长有关资金的通知》（粤财金〔</w:t>
      </w:r>
      <w:r>
        <w:rPr>
          <w:rFonts w:hint="default" w:ascii="仿宋" w:hAnsi="仿宋" w:eastAsia="仿宋" w:cs="仿宋"/>
          <w:color w:val="auto"/>
          <w:sz w:val="32"/>
          <w:szCs w:val="32"/>
          <w:highlight w:val="none"/>
          <w:lang w:val="en-US" w:eastAsia="zh-CN"/>
        </w:rPr>
        <w:t>2022</w:t>
      </w:r>
      <w:r>
        <w:rPr>
          <w:rFonts w:hint="eastAsia" w:ascii="仿宋" w:hAnsi="仿宋" w:eastAsia="仿宋" w:cs="仿宋"/>
          <w:color w:val="auto"/>
          <w:sz w:val="32"/>
          <w:szCs w:val="32"/>
          <w:highlight w:val="none"/>
          <w:lang w:val="en-US" w:eastAsia="zh-CN"/>
        </w:rPr>
        <w:t>〕</w:t>
      </w:r>
      <w:r>
        <w:rPr>
          <w:rFonts w:hint="default" w:ascii="仿宋" w:hAnsi="仿宋" w:eastAsia="仿宋" w:cs="仿宋"/>
          <w:color w:val="auto"/>
          <w:sz w:val="32"/>
          <w:szCs w:val="32"/>
          <w:highlight w:val="none"/>
          <w:lang w:val="en-US" w:eastAsia="zh-CN"/>
        </w:rPr>
        <w:t>11</w:t>
      </w:r>
      <w:r>
        <w:rPr>
          <w:rFonts w:hint="eastAsia" w:ascii="仿宋" w:hAnsi="仿宋" w:eastAsia="仿宋" w:cs="仿宋"/>
          <w:color w:val="auto"/>
          <w:sz w:val="32"/>
          <w:szCs w:val="32"/>
          <w:highlight w:val="none"/>
          <w:lang w:val="en-US" w:eastAsia="zh-CN"/>
        </w:rPr>
        <w:t>号）的绩效指标要求，我局通过测算，各项绩效指标均已完成。</w:t>
      </w:r>
    </w:p>
    <w:p>
      <w:pPr>
        <w:keepNext w:val="0"/>
        <w:keepLines w:val="0"/>
        <w:pageBreakBefore w:val="0"/>
        <w:widowControl w:val="0"/>
        <w:kinsoku/>
        <w:wordWrap/>
        <w:overflowPunct/>
        <w:topLinePunct w:val="0"/>
        <w:autoSpaceDE w:val="0"/>
        <w:autoSpaceDN w:val="0"/>
        <w:bidi w:val="0"/>
        <w:adjustRightInd w:val="0"/>
        <w:snapToGrid w:val="0"/>
        <w:spacing w:line="620" w:lineRule="exact"/>
        <w:ind w:left="0" w:firstLine="640" w:firstLineChars="20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①数量指标“新增小微企业贷款额”达到20亿元。</w:t>
      </w:r>
    </w:p>
    <w:p>
      <w:pPr>
        <w:keepNext w:val="0"/>
        <w:keepLines w:val="0"/>
        <w:pageBreakBefore w:val="0"/>
        <w:widowControl w:val="0"/>
        <w:kinsoku/>
        <w:wordWrap/>
        <w:overflowPunct/>
        <w:topLinePunct w:val="0"/>
        <w:autoSpaceDE w:val="0"/>
        <w:autoSpaceDN w:val="0"/>
        <w:bidi w:val="0"/>
        <w:adjustRightInd w:val="0"/>
        <w:snapToGrid w:val="0"/>
        <w:spacing w:line="620" w:lineRule="exact"/>
        <w:ind w:left="0" w:firstLine="640" w:firstLineChars="20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据统计，2022年受补助机构平均年化担保费率不超过（含）1%的小微企业贷款金额合计为29.31亿元。该项指标已超额完成。</w:t>
      </w:r>
    </w:p>
    <w:p>
      <w:pPr>
        <w:keepNext w:val="0"/>
        <w:keepLines w:val="0"/>
        <w:pageBreakBefore w:val="0"/>
        <w:widowControl w:val="0"/>
        <w:kinsoku/>
        <w:wordWrap/>
        <w:overflowPunct/>
        <w:topLinePunct w:val="0"/>
        <w:autoSpaceDE w:val="0"/>
        <w:autoSpaceDN w:val="0"/>
        <w:bidi w:val="0"/>
        <w:adjustRightInd w:val="0"/>
        <w:snapToGrid w:val="0"/>
        <w:spacing w:line="620" w:lineRule="exact"/>
        <w:ind w:left="0" w:firstLine="640" w:firstLineChars="20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②数量指标“小微企业年化担保费率”≤1%。</w:t>
      </w:r>
    </w:p>
    <w:p>
      <w:pPr>
        <w:keepNext w:val="0"/>
        <w:keepLines w:val="0"/>
        <w:pageBreakBefore w:val="0"/>
        <w:widowControl w:val="0"/>
        <w:kinsoku/>
        <w:wordWrap/>
        <w:overflowPunct/>
        <w:topLinePunct w:val="0"/>
        <w:autoSpaceDE w:val="0"/>
        <w:autoSpaceDN w:val="0"/>
        <w:bidi w:val="0"/>
        <w:adjustRightInd w:val="0"/>
        <w:snapToGrid w:val="0"/>
        <w:spacing w:line="620" w:lineRule="exact"/>
        <w:ind w:left="0" w:firstLine="640" w:firstLineChars="20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据统计，2022年受补助融资担保机构小微企业平均年化担保费率为0.81%。该项指标已完成。</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620" w:lineRule="exact"/>
        <w:ind w:left="0" w:firstLine="640" w:firstLineChars="200"/>
        <w:jc w:val="both"/>
        <w:textAlignment w:val="baseline"/>
        <w:rPr>
          <w:rFonts w:hint="default"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③经济效益指标“增加小微企业融资担保业务”。</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620" w:lineRule="exact"/>
        <w:ind w:left="0" w:firstLine="640" w:firstLineChars="20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2022年广东省40家政府性融资担保机构，融资担保金额824亿元，同比增长49.8%，担保户数8万户，同比增长37.9%。</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620" w:lineRule="exact"/>
        <w:ind w:left="0" w:firstLine="640" w:firstLineChars="200"/>
        <w:jc w:val="both"/>
        <w:textAlignment w:val="baseline"/>
        <w:rPr>
          <w:rFonts w:hint="default"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据统计，本次受补助的19家担保机构的担保规模为71.9亿元，同比增长455.98%，担保户数6922户，同比增长219.04%。该项指标已经完成。</w:t>
      </w:r>
    </w:p>
    <w:p>
      <w:pPr>
        <w:keepNext w:val="0"/>
        <w:keepLines w:val="0"/>
        <w:pageBreakBefore w:val="0"/>
        <w:widowControl w:val="0"/>
        <w:kinsoku/>
        <w:wordWrap/>
        <w:overflowPunct/>
        <w:topLinePunct w:val="0"/>
        <w:autoSpaceDE w:val="0"/>
        <w:autoSpaceDN w:val="0"/>
        <w:bidi w:val="0"/>
        <w:adjustRightInd w:val="0"/>
        <w:snapToGrid w:val="0"/>
        <w:spacing w:line="620" w:lineRule="exact"/>
        <w:ind w:left="0" w:firstLine="640" w:firstLineChars="200"/>
        <w:jc w:val="both"/>
        <w:textAlignment w:val="baseline"/>
        <w:rPr>
          <w:rFonts w:hint="default"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④经济效益指标“降低小微企业融资成本”，2022年广东省40家政府性融资担保机构平均担保费率为1.06%，较上年同期减少0.35%。该项指标已经完成。</w:t>
      </w:r>
    </w:p>
    <w:p>
      <w:pPr>
        <w:keepNext w:val="0"/>
        <w:keepLines w:val="0"/>
        <w:pageBreakBefore w:val="0"/>
        <w:widowControl w:val="0"/>
        <w:kinsoku/>
        <w:wordWrap/>
        <w:overflowPunct/>
        <w:topLinePunct w:val="0"/>
        <w:autoSpaceDE w:val="0"/>
        <w:autoSpaceDN w:val="0"/>
        <w:bidi w:val="0"/>
        <w:adjustRightInd w:val="0"/>
        <w:snapToGrid w:val="0"/>
        <w:spacing w:line="620" w:lineRule="exact"/>
        <w:ind w:left="0" w:firstLine="640" w:firstLineChars="200"/>
        <w:jc w:val="both"/>
        <w:textAlignment w:val="baseline"/>
        <w:rPr>
          <w:rFonts w:hint="default"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⑤服务对象满意度指标“受补助的担保机构满意度（%）”≥85%，本次发出满意度调查表19份，覆盖全部受补助机构，实际收回19份，回收的19份调查表对补助资金发放均表示满意，实际完成值100%。该项指标已完成。</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620" w:lineRule="exact"/>
        <w:ind w:left="0" w:leftChars="0" w:firstLine="682" w:firstLineChars="200"/>
        <w:jc w:val="both"/>
        <w:textAlignment w:val="baseline"/>
        <w:outlineLvl w:val="9"/>
        <w:rPr>
          <w:rFonts w:hint="eastAsia" w:ascii="仿宋" w:hAnsi="仿宋" w:eastAsia="仿宋" w:cs="仿宋"/>
          <w:b/>
          <w:bCs/>
          <w:color w:val="auto"/>
          <w:spacing w:val="10"/>
          <w:position w:val="4"/>
          <w:sz w:val="32"/>
          <w:szCs w:val="32"/>
          <w:highlight w:val="none"/>
        </w:rPr>
      </w:pPr>
      <w:r>
        <w:rPr>
          <w:rFonts w:hint="eastAsia" w:ascii="仿宋" w:hAnsi="仿宋" w:eastAsia="仿宋" w:cs="仿宋"/>
          <w:b/>
          <w:bCs/>
          <w:color w:val="auto"/>
          <w:spacing w:val="10"/>
          <w:position w:val="4"/>
          <w:sz w:val="32"/>
          <w:szCs w:val="32"/>
          <w:highlight w:val="none"/>
          <w:lang w:val="en-US" w:eastAsia="zh-CN"/>
        </w:rPr>
        <w:t>3.</w:t>
      </w:r>
      <w:r>
        <w:rPr>
          <w:rFonts w:hint="eastAsia" w:ascii="仿宋" w:hAnsi="仿宋" w:eastAsia="仿宋" w:cs="仿宋"/>
          <w:b/>
          <w:bCs/>
          <w:color w:val="auto"/>
          <w:spacing w:val="10"/>
          <w:position w:val="4"/>
          <w:sz w:val="32"/>
          <w:szCs w:val="32"/>
          <w:highlight w:val="none"/>
        </w:rPr>
        <w:t>专项资金分用途使用绩效</w:t>
      </w:r>
    </w:p>
    <w:p>
      <w:pPr>
        <w:keepNext w:val="0"/>
        <w:keepLines w:val="0"/>
        <w:pageBreakBefore w:val="0"/>
        <w:widowControl w:val="0"/>
        <w:kinsoku/>
        <w:wordWrap/>
        <w:overflowPunct/>
        <w:topLinePunct w:val="0"/>
        <w:autoSpaceDE w:val="0"/>
        <w:autoSpaceDN w:val="0"/>
        <w:bidi w:val="0"/>
        <w:adjustRightInd w:val="0"/>
        <w:snapToGrid w:val="0"/>
        <w:spacing w:line="620" w:lineRule="exact"/>
        <w:ind w:left="0" w:firstLine="640" w:firstLineChars="200"/>
        <w:jc w:val="both"/>
        <w:textAlignment w:val="baseline"/>
        <w:outlineLvl w:val="1"/>
        <w:rPr>
          <w:rFonts w:hint="eastAsia" w:ascii="仿宋" w:hAnsi="仿宋" w:eastAsia="仿宋" w:cs="仿宋"/>
          <w:color w:val="auto"/>
          <w:sz w:val="32"/>
          <w:szCs w:val="32"/>
          <w:highlight w:val="none"/>
          <w:lang w:val="en-US" w:eastAsia="zh-CN"/>
        </w:rPr>
      </w:pPr>
      <w:bookmarkStart w:id="8" w:name="_Toc19853"/>
      <w:r>
        <w:rPr>
          <w:rFonts w:hint="eastAsia" w:ascii="仿宋" w:hAnsi="仿宋" w:eastAsia="仿宋" w:cs="仿宋"/>
          <w:color w:val="auto"/>
          <w:sz w:val="32"/>
          <w:szCs w:val="32"/>
          <w:highlight w:val="none"/>
          <w:lang w:val="en-US" w:eastAsia="zh-CN"/>
        </w:rPr>
        <w:t>2022年度已向国家融资担保基金报送融资担保业务共7.9万笔，规模合计452.2亿元，业务规模同比增长92%。</w:t>
      </w:r>
    </w:p>
    <w:p>
      <w:pPr>
        <w:keepNext w:val="0"/>
        <w:keepLines w:val="0"/>
        <w:pageBreakBefore w:val="0"/>
        <w:widowControl w:val="0"/>
        <w:kinsoku/>
        <w:wordWrap/>
        <w:overflowPunct/>
        <w:topLinePunct w:val="0"/>
        <w:autoSpaceDE w:val="0"/>
        <w:autoSpaceDN w:val="0"/>
        <w:bidi w:val="0"/>
        <w:adjustRightInd w:val="0"/>
        <w:snapToGrid w:val="0"/>
        <w:spacing w:line="620" w:lineRule="exact"/>
        <w:ind w:left="0" w:firstLine="668" w:firstLineChars="200"/>
        <w:jc w:val="both"/>
        <w:textAlignment w:val="baseline"/>
        <w:outlineLvl w:val="1"/>
        <w:rPr>
          <w:rFonts w:hint="eastAsia" w:ascii="仿宋" w:hAnsi="仿宋" w:eastAsia="仿宋" w:cs="仿宋"/>
          <w:b/>
          <w:bCs/>
          <w:color w:val="auto"/>
          <w:sz w:val="32"/>
          <w:szCs w:val="32"/>
          <w:highlight w:val="none"/>
          <w:lang w:val="en-US" w:eastAsia="zh-CN"/>
        </w:rPr>
      </w:pPr>
      <w:r>
        <w:rPr>
          <w:rFonts w:hint="eastAsia" w:ascii="楷体_GB2312" w:hAnsi="楷体_GB2312" w:eastAsia="楷体_GB2312" w:cs="楷体_GB2312"/>
          <w:b w:val="0"/>
          <w:bCs w:val="0"/>
          <w:color w:val="auto"/>
          <w:spacing w:val="7"/>
          <w:kern w:val="0"/>
          <w:sz w:val="32"/>
          <w:szCs w:val="32"/>
          <w:lang w:val="en-US" w:eastAsia="zh-CN" w:bidi="ar-SA"/>
        </w:rPr>
        <w:t>（三）专项资金使用绩效存在的问题</w:t>
      </w:r>
      <w:bookmarkEnd w:id="8"/>
    </w:p>
    <w:p>
      <w:pPr>
        <w:keepNext w:val="0"/>
        <w:keepLines w:val="0"/>
        <w:pageBreakBefore w:val="0"/>
        <w:widowControl w:val="0"/>
        <w:kinsoku/>
        <w:wordWrap/>
        <w:overflowPunct/>
        <w:topLinePunct w:val="0"/>
        <w:autoSpaceDE w:val="0"/>
        <w:autoSpaceDN w:val="0"/>
        <w:bidi w:val="0"/>
        <w:adjustRightInd w:val="0"/>
        <w:snapToGrid w:val="0"/>
        <w:spacing w:line="620" w:lineRule="exact"/>
        <w:ind w:left="0" w:firstLine="640" w:firstLineChars="200"/>
        <w:jc w:val="both"/>
        <w:textAlignment w:val="baseline"/>
        <w:rPr>
          <w:rFonts w:hint="default" w:ascii="仿宋" w:hAnsi="仿宋" w:eastAsia="仿宋" w:cs="仿宋"/>
          <w:color w:val="auto"/>
          <w:sz w:val="32"/>
          <w:szCs w:val="32"/>
          <w:highlight w:val="none"/>
          <w:lang w:val="en-US" w:eastAsia="zh-CN"/>
        </w:rPr>
      </w:pPr>
      <w:r>
        <w:rPr>
          <w:rFonts w:hint="default" w:ascii="仿宋" w:hAnsi="仿宋" w:eastAsia="仿宋" w:cs="仿宋"/>
          <w:color w:val="auto"/>
          <w:sz w:val="32"/>
          <w:szCs w:val="32"/>
          <w:highlight w:val="none"/>
          <w:lang w:val="en-US" w:eastAsia="zh-CN"/>
        </w:rPr>
        <w:t>目前</w:t>
      </w:r>
      <w:r>
        <w:rPr>
          <w:rFonts w:hint="eastAsia" w:ascii="仿宋" w:hAnsi="仿宋" w:eastAsia="仿宋" w:cs="仿宋"/>
          <w:color w:val="auto"/>
          <w:sz w:val="32"/>
          <w:szCs w:val="32"/>
          <w:highlight w:val="none"/>
          <w:lang w:val="en-US" w:eastAsia="zh-CN"/>
        </w:rPr>
        <w:t>，该资金补助期限不超过1年，仅将部分欠发达区域符合条件的小微企业融资担保业务纳入申报范围，补助资金覆盖的业务期限和范围有待进一步研究适度拓宽。</w:t>
      </w:r>
    </w:p>
    <w:p>
      <w:pPr>
        <w:keepNext w:val="0"/>
        <w:keepLines w:val="0"/>
        <w:pageBreakBefore w:val="0"/>
        <w:widowControl w:val="0"/>
        <w:kinsoku/>
        <w:wordWrap/>
        <w:overflowPunct/>
        <w:topLinePunct w:val="0"/>
        <w:autoSpaceDE w:val="0"/>
        <w:autoSpaceDN w:val="0"/>
        <w:bidi w:val="0"/>
        <w:adjustRightInd w:val="0"/>
        <w:snapToGrid w:val="0"/>
        <w:spacing w:line="620" w:lineRule="exact"/>
        <w:ind w:left="0" w:right="0" w:firstLine="680" w:firstLineChars="200"/>
        <w:jc w:val="both"/>
        <w:textAlignment w:val="baseline"/>
        <w:rPr>
          <w:rFonts w:hint="eastAsia" w:ascii="黑体" w:hAnsi="黑体" w:eastAsia="黑体" w:cs="黑体"/>
          <w:b w:val="0"/>
          <w:bCs w:val="0"/>
          <w:color w:val="auto"/>
          <w:spacing w:val="10"/>
          <w:kern w:val="0"/>
          <w:position w:val="4"/>
          <w:sz w:val="32"/>
          <w:szCs w:val="32"/>
          <w:lang w:val="en-US" w:eastAsia="zh-CN" w:bidi="ar-SA"/>
        </w:rPr>
      </w:pPr>
      <w:bookmarkStart w:id="9" w:name="_Toc3101"/>
      <w:r>
        <w:rPr>
          <w:rFonts w:hint="eastAsia" w:ascii="黑体" w:hAnsi="黑体" w:eastAsia="黑体" w:cs="黑体"/>
          <w:b w:val="0"/>
          <w:bCs w:val="0"/>
          <w:color w:val="auto"/>
          <w:spacing w:val="10"/>
          <w:kern w:val="0"/>
          <w:position w:val="4"/>
          <w:sz w:val="32"/>
          <w:szCs w:val="32"/>
          <w:lang w:val="en-US" w:eastAsia="zh-CN" w:bidi="ar-SA"/>
        </w:rPr>
        <w:t>三、改进意见</w:t>
      </w:r>
      <w:bookmarkEnd w:id="9"/>
    </w:p>
    <w:p>
      <w:pPr>
        <w:spacing w:before="101" w:line="513" w:lineRule="exact"/>
        <w:ind w:firstLine="640" w:firstLineChars="200"/>
        <w:jc w:val="both"/>
        <w:rPr>
          <w:rFonts w:hint="eastAsia" w:ascii="仿宋" w:hAnsi="仿宋" w:eastAsia="仿宋" w:cs="仿宋"/>
          <w:color w:val="auto"/>
          <w:sz w:val="30"/>
          <w:szCs w:val="30"/>
          <w:lang w:val="en-US" w:eastAsia="zh-CN"/>
        </w:rPr>
      </w:pPr>
      <w:r>
        <w:rPr>
          <w:rFonts w:hint="eastAsia" w:ascii="仿宋" w:hAnsi="仿宋" w:eastAsia="仿宋" w:cs="仿宋"/>
          <w:color w:val="auto"/>
          <w:sz w:val="32"/>
          <w:szCs w:val="32"/>
          <w:highlight w:val="none"/>
          <w:lang w:val="en-US" w:eastAsia="zh-CN"/>
        </w:rPr>
        <w:t>我局将加强与有关部门沟通，深入调查研究，在财政资金允许的情况下适时优化政策，惠及更多群体。</w:t>
      </w:r>
    </w:p>
    <w:sectPr>
      <w:footerReference r:id="rId6" w:type="default"/>
      <w:pgSz w:w="11902" w:h="16843"/>
      <w:pgMar w:top="1440" w:right="1283" w:bottom="1440" w:left="805" w:header="0" w:footer="543" w:gutter="0"/>
      <w:pgNumType w:fmt="decimal"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
    <w:altName w:val="方正仿宋_GBK"/>
    <w:panose1 w:val="02010609060101010101"/>
    <w:charset w:val="86"/>
    <w:family w:val="auto"/>
    <w:pitch w:val="default"/>
    <w:sig w:usb0="00000000" w:usb1="00000000" w:usb2="00000016" w:usb3="00000000" w:csb0="00040001" w:csb1="00000000"/>
  </w:font>
  <w:font w:name="新宋体">
    <w:altName w:val="方正书宋_GBK"/>
    <w:panose1 w:val="02010609030101010101"/>
    <w:charset w:val="86"/>
    <w:family w:val="auto"/>
    <w:pitch w:val="default"/>
    <w:sig w:usb0="00000000" w:usb1="00000000" w:usb2="00000006"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隶书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 w:name="DejaVu Sans">
    <w:panose1 w:val="020B0603030804020204"/>
    <w:charset w:val="00"/>
    <w:family w:val="auto"/>
    <w:pitch w:val="default"/>
    <w:sig w:usb0="E7006EFF" w:usb1="D200FDFF" w:usb2="0A246029" w:usb3="0400200C" w:csb0="600001FF" w:csb1="DFFF0000"/>
  </w:font>
  <w:font w:name="CESI仿宋-GB2312">
    <w:panose1 w:val="02000500000000000000"/>
    <w:charset w:val="86"/>
    <w:family w:val="auto"/>
    <w:pitch w:val="default"/>
    <w:sig w:usb0="800002AF" w:usb1="084F6CF8" w:usb2="00000010"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92" w:lineRule="auto"/>
      <w:jc w:val="right"/>
      <w:rPr>
        <w:rFonts w:ascii="新宋体" w:hAnsi="新宋体" w:eastAsia="新宋体" w:cs="新宋体"/>
        <w:sz w:val="29"/>
        <w:szCs w:val="29"/>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92" w:lineRule="auto"/>
      <w:jc w:val="right"/>
      <w:rPr>
        <w:rFonts w:ascii="新宋体" w:hAnsi="新宋体" w:eastAsia="新宋体" w:cs="新宋体"/>
        <w:sz w:val="29"/>
        <w:szCs w:val="29"/>
      </w:rPr>
    </w:pPr>
    <w:r>
      <w:rPr>
        <w:sz w:val="29"/>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true"/>
  <w:bordersDoNotSurroundHeader w:val="false"/>
  <w:bordersDoNotSurroundFooter w:val="false"/>
  <w:documentProtection w:enforcement="0"/>
  <w:displayHorizontalDrawingGridEvery w:val="1"/>
  <w:displayVerticalDrawingGridEvery w:val="1"/>
  <w:noPunctuationKerning w:val="true"/>
  <w:characterSpacingControl w:val="doNotCompress"/>
  <w:footnotePr>
    <w:footnote w:id="0"/>
    <w:footnote w:id="1"/>
  </w:footnotePr>
  <w:endnotePr>
    <w:endnote w:id="0"/>
    <w:endnote w:id="1"/>
  </w:endnotePr>
  <w:compat>
    <w:spaceForUL/>
    <w:ulTrailSpace/>
    <w:doNotExpandShiftReturn/>
    <w:doNotWrapTextWithPunct/>
    <w:doNotUseEastAsianBreakRules/>
    <w:useFELayout/>
    <w:doNotUseIndentAsNumberingTabStop/>
    <w:useAltKinsokuLineBreakRules/>
    <w:compatSetting w:name="compatibilityMode" w:uri="http://schemas.microsoft.com/office/word" w:val="14"/>
  </w:compat>
  <w:docVars>
    <w:docVar w:name="commondata" w:val="eyJoZGlkIjoiNDkzYzdkODJkYjc0ZWFlMjhiNDg1MGRiNDNiZTU4OGQifQ=="/>
  </w:docVars>
  <w:rsids>
    <w:rsidRoot w:val="00172A27"/>
    <w:rsid w:val="08B153B0"/>
    <w:rsid w:val="0D7B9235"/>
    <w:rsid w:val="13AAD193"/>
    <w:rsid w:val="14EB750F"/>
    <w:rsid w:val="157C27C8"/>
    <w:rsid w:val="1DD155E1"/>
    <w:rsid w:val="1DDE4528"/>
    <w:rsid w:val="1EB6A533"/>
    <w:rsid w:val="1F67845F"/>
    <w:rsid w:val="1F9A55BB"/>
    <w:rsid w:val="1FE032C8"/>
    <w:rsid w:val="1FFF46A3"/>
    <w:rsid w:val="2AFF2CAA"/>
    <w:rsid w:val="2D977AF0"/>
    <w:rsid w:val="2DE35E39"/>
    <w:rsid w:val="2E514748"/>
    <w:rsid w:val="2E9D638E"/>
    <w:rsid w:val="2EBF6666"/>
    <w:rsid w:val="31BF5423"/>
    <w:rsid w:val="3525684A"/>
    <w:rsid w:val="36E2EE64"/>
    <w:rsid w:val="379F9E23"/>
    <w:rsid w:val="37EF78E6"/>
    <w:rsid w:val="37F68030"/>
    <w:rsid w:val="38F54CED"/>
    <w:rsid w:val="39F7F637"/>
    <w:rsid w:val="3B683B55"/>
    <w:rsid w:val="3BF7E0C6"/>
    <w:rsid w:val="3BFF771A"/>
    <w:rsid w:val="3C0332FA"/>
    <w:rsid w:val="3C8891DB"/>
    <w:rsid w:val="3DDAABDB"/>
    <w:rsid w:val="3E3FE3DB"/>
    <w:rsid w:val="3EABBCCC"/>
    <w:rsid w:val="3F6F94B3"/>
    <w:rsid w:val="3F754978"/>
    <w:rsid w:val="3FEE9C01"/>
    <w:rsid w:val="3FF7F222"/>
    <w:rsid w:val="3FFF39CC"/>
    <w:rsid w:val="414F52C6"/>
    <w:rsid w:val="464F4EF3"/>
    <w:rsid w:val="4D942E5A"/>
    <w:rsid w:val="4DD75605"/>
    <w:rsid w:val="4F162AA3"/>
    <w:rsid w:val="4FFF74C2"/>
    <w:rsid w:val="506A3ECB"/>
    <w:rsid w:val="519F1268"/>
    <w:rsid w:val="54693555"/>
    <w:rsid w:val="55A51501"/>
    <w:rsid w:val="5732DE94"/>
    <w:rsid w:val="57EEA225"/>
    <w:rsid w:val="59B91A1F"/>
    <w:rsid w:val="5BB9C775"/>
    <w:rsid w:val="5BDF28FA"/>
    <w:rsid w:val="5D3B4D37"/>
    <w:rsid w:val="5FBB983A"/>
    <w:rsid w:val="60183E2B"/>
    <w:rsid w:val="678FD008"/>
    <w:rsid w:val="6865105C"/>
    <w:rsid w:val="69B62200"/>
    <w:rsid w:val="6BFF7164"/>
    <w:rsid w:val="6C4BC040"/>
    <w:rsid w:val="6CF7BE9C"/>
    <w:rsid w:val="6DD12882"/>
    <w:rsid w:val="6EBFBA72"/>
    <w:rsid w:val="6EECFBE1"/>
    <w:rsid w:val="6EF3182E"/>
    <w:rsid w:val="6EFFD2EA"/>
    <w:rsid w:val="6F4B59FC"/>
    <w:rsid w:val="6F656AC2"/>
    <w:rsid w:val="6FF21F16"/>
    <w:rsid w:val="72DFF33E"/>
    <w:rsid w:val="72FD3445"/>
    <w:rsid w:val="7367C5EB"/>
    <w:rsid w:val="74F3AF76"/>
    <w:rsid w:val="754D6A54"/>
    <w:rsid w:val="75ABAEB4"/>
    <w:rsid w:val="75FF469E"/>
    <w:rsid w:val="767E0976"/>
    <w:rsid w:val="77DF0DB2"/>
    <w:rsid w:val="791351EC"/>
    <w:rsid w:val="797FC366"/>
    <w:rsid w:val="7B3B37F5"/>
    <w:rsid w:val="7B6FAABA"/>
    <w:rsid w:val="7BD74983"/>
    <w:rsid w:val="7BEBA260"/>
    <w:rsid w:val="7BF71D2C"/>
    <w:rsid w:val="7BFFA9AF"/>
    <w:rsid w:val="7D5FBCEF"/>
    <w:rsid w:val="7D8F827A"/>
    <w:rsid w:val="7DBDEB25"/>
    <w:rsid w:val="7DC785E9"/>
    <w:rsid w:val="7DF9678B"/>
    <w:rsid w:val="7E3F1E9B"/>
    <w:rsid w:val="7E7BE49C"/>
    <w:rsid w:val="7EDB4CBB"/>
    <w:rsid w:val="7F5F9AB1"/>
    <w:rsid w:val="7F7AAD13"/>
    <w:rsid w:val="7FB5F37B"/>
    <w:rsid w:val="7FBBDD83"/>
    <w:rsid w:val="7FDD02F8"/>
    <w:rsid w:val="7FDD3744"/>
    <w:rsid w:val="7FDDD6B7"/>
    <w:rsid w:val="7FDE4922"/>
    <w:rsid w:val="7FEB29D3"/>
    <w:rsid w:val="7FEFB830"/>
    <w:rsid w:val="7FF650EB"/>
    <w:rsid w:val="7FFF851B"/>
    <w:rsid w:val="89EE350E"/>
    <w:rsid w:val="8F6AADBE"/>
    <w:rsid w:val="97EE474E"/>
    <w:rsid w:val="9BEFAAA3"/>
    <w:rsid w:val="9D8F1597"/>
    <w:rsid w:val="9E0B8010"/>
    <w:rsid w:val="9EFA4F78"/>
    <w:rsid w:val="AEABB2BE"/>
    <w:rsid w:val="AF5A5D79"/>
    <w:rsid w:val="AFFFD4F3"/>
    <w:rsid w:val="B1F6D637"/>
    <w:rsid w:val="B7611DDF"/>
    <w:rsid w:val="B77BC4E1"/>
    <w:rsid w:val="BBE76EA7"/>
    <w:rsid w:val="BBFF3355"/>
    <w:rsid w:val="BEFCADD5"/>
    <w:rsid w:val="BF0DFED5"/>
    <w:rsid w:val="BF5F3867"/>
    <w:rsid w:val="BFD9B030"/>
    <w:rsid w:val="C2FFBB9E"/>
    <w:rsid w:val="C6EE37D3"/>
    <w:rsid w:val="CBF95A8C"/>
    <w:rsid w:val="CEBFC95B"/>
    <w:rsid w:val="CFFB8E84"/>
    <w:rsid w:val="CFFF8776"/>
    <w:rsid w:val="D17D7223"/>
    <w:rsid w:val="D2D9B823"/>
    <w:rsid w:val="D56208F0"/>
    <w:rsid w:val="D79F886D"/>
    <w:rsid w:val="D8BB14E9"/>
    <w:rsid w:val="D9394D68"/>
    <w:rsid w:val="DB69B28A"/>
    <w:rsid w:val="DB7FA361"/>
    <w:rsid w:val="DBAF2263"/>
    <w:rsid w:val="DBB1D782"/>
    <w:rsid w:val="DBCF4DAD"/>
    <w:rsid w:val="DBFF6AFC"/>
    <w:rsid w:val="DBFF918E"/>
    <w:rsid w:val="DCC57A03"/>
    <w:rsid w:val="DDDFB441"/>
    <w:rsid w:val="DDFB073D"/>
    <w:rsid w:val="DDFDCCCF"/>
    <w:rsid w:val="DF3F10B7"/>
    <w:rsid w:val="DF3FD56D"/>
    <w:rsid w:val="DF6E3BD8"/>
    <w:rsid w:val="DF7E2C4A"/>
    <w:rsid w:val="DFFF2E9A"/>
    <w:rsid w:val="E5DB19EF"/>
    <w:rsid w:val="E6FFC2BF"/>
    <w:rsid w:val="E7F75E91"/>
    <w:rsid w:val="EBFF16B3"/>
    <w:rsid w:val="ED97049C"/>
    <w:rsid w:val="EDFAC652"/>
    <w:rsid w:val="EE19F47E"/>
    <w:rsid w:val="EEFF756C"/>
    <w:rsid w:val="EF13EEE0"/>
    <w:rsid w:val="EF56FB1B"/>
    <w:rsid w:val="EF66A281"/>
    <w:rsid w:val="EFBA6E63"/>
    <w:rsid w:val="EFDDB88B"/>
    <w:rsid w:val="F0D72102"/>
    <w:rsid w:val="F1D65327"/>
    <w:rsid w:val="F277AB04"/>
    <w:rsid w:val="F375F1FC"/>
    <w:rsid w:val="F57F03DF"/>
    <w:rsid w:val="F75E9173"/>
    <w:rsid w:val="F7DE8AE1"/>
    <w:rsid w:val="F7F79A4C"/>
    <w:rsid w:val="F7FE6BBB"/>
    <w:rsid w:val="F7FF1415"/>
    <w:rsid w:val="FB191676"/>
    <w:rsid w:val="FB775814"/>
    <w:rsid w:val="FBEE4162"/>
    <w:rsid w:val="FBF2A43F"/>
    <w:rsid w:val="FBF71B52"/>
    <w:rsid w:val="FBFB729C"/>
    <w:rsid w:val="FC791077"/>
    <w:rsid w:val="FDAA6911"/>
    <w:rsid w:val="FDE9610B"/>
    <w:rsid w:val="FDFFBA0F"/>
    <w:rsid w:val="FEE9CE80"/>
    <w:rsid w:val="FEF7992F"/>
    <w:rsid w:val="FF2BD49B"/>
    <w:rsid w:val="FF6EAD6A"/>
    <w:rsid w:val="FF7B7B75"/>
    <w:rsid w:val="FF7BC326"/>
    <w:rsid w:val="FFB78EEF"/>
    <w:rsid w:val="FFDFF538"/>
    <w:rsid w:val="FFEBA6BA"/>
    <w:rsid w:val="FFFB671B"/>
    <w:rsid w:val="FFFB935F"/>
    <w:rsid w:val="FFFE15AC"/>
    <w:rsid w:val="FFFF4ABE"/>
    <w:rsid w:val="FFFF5EF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toc 1"/>
    <w:basedOn w:val="1"/>
    <w:next w:val="1"/>
    <w:qFormat/>
    <w:uiPriority w:val="0"/>
  </w:style>
  <w:style w:type="paragraph" w:styleId="5">
    <w:name w:val="footnote text"/>
    <w:basedOn w:val="1"/>
    <w:qFormat/>
    <w:uiPriority w:val="0"/>
    <w:pPr>
      <w:snapToGrid w:val="0"/>
      <w:jc w:val="left"/>
    </w:pPr>
    <w:rPr>
      <w:sz w:val="18"/>
    </w:rPr>
  </w:style>
  <w:style w:type="paragraph" w:styleId="6">
    <w:name w:val="toc 2"/>
    <w:basedOn w:val="1"/>
    <w:next w:val="1"/>
    <w:qFormat/>
    <w:uiPriority w:val="0"/>
    <w:pPr>
      <w:ind w:left="420" w:leftChars="200"/>
    </w:pPr>
  </w:style>
  <w:style w:type="paragraph" w:styleId="7">
    <w:name w:val="Normal (Web)"/>
    <w:basedOn w:val="1"/>
    <w:uiPriority w:val="0"/>
    <w:pPr>
      <w:spacing w:before="0" w:beforeAutospacing="1" w:after="0" w:afterAutospacing="1"/>
      <w:ind w:left="0" w:right="0"/>
      <w:jc w:val="left"/>
    </w:pPr>
    <w:rPr>
      <w:kern w:val="0"/>
      <w:sz w:val="24"/>
      <w:lang w:val="en-US" w:eastAsia="zh-CN" w:bidi="ar"/>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footnote reference"/>
    <w:basedOn w:val="10"/>
    <w:qFormat/>
    <w:uiPriority w:val="0"/>
    <w:rPr>
      <w:vertAlign w:val="superscript"/>
    </w:rPr>
  </w:style>
  <w:style w:type="table" w:customStyle="1" w:styleId="12">
    <w:name w:val="Table Normal"/>
    <w:semiHidden/>
    <w:unhideWhenUsed/>
    <w:qFormat/>
    <w:uiPriority w:val="0"/>
    <w:tblPr>
      <w:tblCellMar>
        <w:top w:w="0" w:type="dxa"/>
        <w:left w:w="0" w:type="dxa"/>
        <w:bottom w:w="0" w:type="dxa"/>
        <w:right w:w="0" w:type="dxa"/>
      </w:tblCellMar>
    </w:tblPr>
  </w:style>
  <w:style w:type="paragraph" w:customStyle="1" w:styleId="13">
    <w:name w:val="正文（缩进）"/>
    <w:basedOn w:val="1"/>
    <w:qFormat/>
    <w:uiPriority w:val="0"/>
    <w:pPr>
      <w:spacing w:before="156" w:beforeLines="50" w:after="156" w:afterLines="50" w:line="360" w:lineRule="auto"/>
      <w:ind w:firstLine="480" w:firstLineChars="200"/>
    </w:pPr>
    <w:rPr>
      <w:kern w:val="0"/>
      <w:sz w:val="24"/>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17</Pages>
  <Words>6151</Words>
  <Characters>7638</Characters>
  <TotalTime>2</TotalTime>
  <ScaleCrop>false</ScaleCrop>
  <LinksUpToDate>false</LinksUpToDate>
  <CharactersWithSpaces>7695</CharactersWithSpaces>
  <Application>WPS Office_11.8.2.10422_F1E327BC-269C-435d-A152-05C5408002CA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2023-04-25T22:43:00Z</dcterms:created>
  <dc:creator>17613</dc:creator>
  <cp:lastModifiedBy>user</cp:lastModifiedBy>
  <cp:lastPrinted>2023-08-02T07:44:00Z</cp:lastPrinted>
  <dcterms:modified xsi:type="dcterms:W3CDTF">2023-08-01T17:10:02Z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2023-07-11T18:32:51Z</vt:filetime>
  </property>
  <property fmtid="{D5CDD505-2E9C-101B-9397-08002B2CF9AE}" pid="4" name="KSOProductBuildVer">
    <vt:lpwstr>2052-11.8.2.10422</vt:lpwstr>
  </property>
  <property fmtid="{D5CDD505-2E9C-101B-9397-08002B2CF9AE}" pid="5" name="ICV">
    <vt:lpwstr>F19CAA3574F94AF2918694E3EA6BD37D_12</vt:lpwstr>
  </property>
</Properties>
</file>