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autoSpaceDE/>
        <w:autoSpaceDN/>
        <w:bidi w:val="0"/>
        <w:adjustRightInd/>
        <w:snapToGrid/>
        <w:spacing w:line="560" w:lineRule="exact"/>
        <w:ind w:left="0" w:firstLine="0"/>
        <w:textAlignment w:val="auto"/>
        <w:outlineLvl w:val="0"/>
        <w:rPr>
          <w:rFonts w:hint="eastAsia" w:ascii="黑体" w:hAnsi="黑体" w:eastAsia="黑体" w:cs="黑体"/>
          <w:color w:val="000000"/>
          <w:sz w:val="28"/>
          <w:szCs w:val="36"/>
        </w:rPr>
      </w:pPr>
      <w:r>
        <w:rPr>
          <w:rFonts w:hint="eastAsia" w:ascii="黑体" w:hAnsi="黑体" w:eastAsia="黑体" w:cs="黑体"/>
          <w:color w:val="000000"/>
          <w:sz w:val="28"/>
          <w:szCs w:val="36"/>
        </w:rPr>
        <w:t>附件3</w:t>
      </w:r>
    </w:p>
    <w:p>
      <w:pPr>
        <w:keepNext/>
        <w:keepLines/>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0"/>
        <w:jc w:val="left"/>
        <w:textAlignment w:val="auto"/>
        <w:outlineLvl w:val="1"/>
        <w:rPr>
          <w:rFonts w:hint="eastAsia" w:eastAsia="仿宋_GB2312"/>
          <w:b/>
          <w:color w:val="000000"/>
          <w:kern w:val="0"/>
          <w:sz w:val="28"/>
          <w:szCs w:val="28"/>
        </w:rPr>
      </w:pPr>
      <w:r>
        <w:rPr>
          <w:rFonts w:hint="eastAsia" w:eastAsia="仿宋_GB2312"/>
          <w:b/>
          <w:color w:val="000000"/>
          <w:kern w:val="0"/>
          <w:sz w:val="28"/>
          <w:szCs w:val="28"/>
        </w:rPr>
        <w:t>1.汕尾市金融支持“百县千镇万村高质量发展工程”示范项目绩效目标表</w:t>
      </w:r>
    </w:p>
    <w:tbl>
      <w:tblPr>
        <w:tblStyle w:val="3"/>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0"/>
        <w:gridCol w:w="1041"/>
        <w:gridCol w:w="1787"/>
        <w:gridCol w:w="2093"/>
        <w:gridCol w:w="201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711"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申报单位</w:t>
            </w:r>
          </w:p>
        </w:tc>
        <w:tc>
          <w:tcPr>
            <w:tcW w:w="7345" w:type="dxa"/>
            <w:gridSpan w:val="4"/>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textAlignment w:val="auto"/>
              <w:rPr>
                <w:rFonts w:hint="eastAsia" w:eastAsia="仿宋_GB2312" w:cs="仿宋_GB2312"/>
                <w:bCs/>
                <w:sz w:val="24"/>
                <w:szCs w:val="24"/>
              </w:rPr>
            </w:pPr>
            <w:r>
              <w:rPr>
                <w:rFonts w:hint="eastAsia" w:eastAsia="仿宋_GB2312" w:cs="仿宋_GB2312"/>
                <w:bCs/>
                <w:sz w:val="24"/>
                <w:szCs w:val="24"/>
              </w:rPr>
              <w:t>汕尾市金融工作局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711"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支持金额</w:t>
            </w:r>
          </w:p>
        </w:tc>
        <w:tc>
          <w:tcPr>
            <w:tcW w:w="7345" w:type="dxa"/>
            <w:gridSpan w:val="4"/>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textAlignment w:val="auto"/>
              <w:rPr>
                <w:rFonts w:hint="eastAsia" w:eastAsia="仿宋_GB2312" w:cs="仿宋_GB2312"/>
                <w:bCs/>
                <w:sz w:val="24"/>
                <w:szCs w:val="24"/>
              </w:rPr>
            </w:pPr>
            <w:r>
              <w:rPr>
                <w:rFonts w:hint="eastAsia" w:eastAsia="仿宋_GB2312" w:cs="仿宋_GB2312"/>
                <w:bCs/>
                <w:sz w:val="24"/>
                <w:szCs w:val="24"/>
              </w:rPr>
              <w:t>330万元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711"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年度目标</w:t>
            </w:r>
          </w:p>
        </w:tc>
        <w:tc>
          <w:tcPr>
            <w:tcW w:w="7345" w:type="dxa"/>
            <w:gridSpan w:val="4"/>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textAlignment w:val="auto"/>
              <w:rPr>
                <w:rFonts w:hint="eastAsia" w:eastAsia="仿宋_GB2312" w:cs="仿宋_GB2312"/>
                <w:bCs/>
                <w:sz w:val="24"/>
                <w:szCs w:val="24"/>
              </w:rPr>
            </w:pPr>
            <w:r>
              <w:rPr>
                <w:rFonts w:hint="eastAsia" w:eastAsia="仿宋_GB2312" w:cs="仿宋_GB2312"/>
                <w:sz w:val="24"/>
                <w:szCs w:val="24"/>
              </w:rPr>
              <w:t>搭建汕尾“百千万工程”数字普惠金融服务专区；</w:t>
            </w:r>
            <w:r>
              <w:rPr>
                <w:rFonts w:hint="eastAsia" w:eastAsia="仿宋_GB2312" w:cs="仿宋_GB2312"/>
                <w:bCs/>
                <w:sz w:val="24"/>
                <w:szCs w:val="24"/>
              </w:rPr>
              <w:t>发放贷款贴息补助；开展6场金融服务“百千万工程”能力提升行动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711"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阶段目标</w:t>
            </w:r>
          </w:p>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（6月底前）</w:t>
            </w:r>
          </w:p>
        </w:tc>
        <w:tc>
          <w:tcPr>
            <w:tcW w:w="7345" w:type="dxa"/>
            <w:gridSpan w:val="4"/>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textAlignment w:val="auto"/>
              <w:rPr>
                <w:rFonts w:hint="eastAsia" w:eastAsia="仿宋_GB2312" w:cs="仿宋_GB2312"/>
                <w:sz w:val="24"/>
                <w:szCs w:val="24"/>
              </w:rPr>
            </w:pPr>
            <w:r>
              <w:rPr>
                <w:rFonts w:hint="eastAsia" w:eastAsia="仿宋_GB2312" w:cs="仿宋_GB2312"/>
                <w:bCs/>
                <w:sz w:val="24"/>
                <w:szCs w:val="24"/>
              </w:rPr>
              <w:t>搭建汕尾“百千万工程”数字普惠金融服务专区并上线运营；完成贷款贴息工作机制和相关政策宣导；开展3期金融服务“百千万工程”能力提升行动。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711"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目标</w:t>
            </w: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指标内容及口径</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阶段目标</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restart"/>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产出指标</w:t>
            </w:r>
          </w:p>
        </w:tc>
        <w:tc>
          <w:tcPr>
            <w:tcW w:w="1041" w:type="dxa"/>
            <w:vMerge w:val="restart"/>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数量指标</w:t>
            </w:r>
          </w:p>
        </w:tc>
        <w:tc>
          <w:tcPr>
            <w:tcW w:w="1787" w:type="dxa"/>
            <w:vMerge w:val="restart"/>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汕尾“百千万工程”数字普惠金融服务平台</w:t>
            </w:r>
          </w:p>
        </w:tc>
        <w:tc>
          <w:tcPr>
            <w:tcW w:w="2093"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金融产品（项）</w:t>
            </w:r>
          </w:p>
        </w:tc>
        <w:tc>
          <w:tcPr>
            <w:tcW w:w="2011" w:type="dxa"/>
            <w:vMerge w:val="restart"/>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textAlignment w:val="auto"/>
              <w:rPr>
                <w:rFonts w:hint="eastAsia" w:eastAsia="仿宋_GB2312" w:cs="仿宋_GB2312"/>
                <w:bCs/>
                <w:sz w:val="24"/>
                <w:szCs w:val="24"/>
              </w:rPr>
            </w:pPr>
            <w:r>
              <w:rPr>
                <w:rFonts w:hint="eastAsia" w:eastAsia="仿宋_GB2312" w:cs="仿宋_GB2312"/>
                <w:bCs/>
                <w:sz w:val="24"/>
                <w:szCs w:val="24"/>
              </w:rPr>
              <w:t>完成</w:t>
            </w:r>
            <w:r>
              <w:rPr>
                <w:rFonts w:hint="eastAsia" w:eastAsia="仿宋_GB2312" w:cs="仿宋_GB2312"/>
                <w:sz w:val="24"/>
                <w:szCs w:val="24"/>
              </w:rPr>
              <w:t>金融服务平台</w:t>
            </w:r>
            <w:r>
              <w:rPr>
                <w:rFonts w:hint="eastAsia" w:eastAsia="仿宋_GB2312" w:cs="仿宋_GB2312"/>
                <w:bCs/>
                <w:sz w:val="24"/>
                <w:szCs w:val="24"/>
              </w:rPr>
              <w:t>建设并上线运营</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left="0" w:leftChars="0" w:firstLine="0" w:firstLineChars="0"/>
              <w:jc w:val="center"/>
              <w:textAlignment w:val="auto"/>
              <w:rPr>
                <w:rFonts w:hint="eastAsia" w:eastAsia="仿宋_GB2312" w:cs="仿宋_GB2312"/>
                <w:bCs/>
                <w:sz w:val="24"/>
                <w:szCs w:val="24"/>
              </w:rPr>
            </w:pPr>
            <w:r>
              <w:rPr>
                <w:rFonts w:hint="eastAsia"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041"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2093"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服务企业数量（家）</w:t>
            </w:r>
          </w:p>
        </w:tc>
        <w:tc>
          <w:tcPr>
            <w:tcW w:w="2011"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041"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787"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贷款贴息补助</w:t>
            </w:r>
          </w:p>
        </w:tc>
        <w:tc>
          <w:tcPr>
            <w:tcW w:w="2093"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补助用户（家）</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确定贴息补助机制</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041"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787" w:type="dxa"/>
            <w:vMerge w:val="restart"/>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金融服务“百千万工程”能力提升行动</w:t>
            </w:r>
          </w:p>
        </w:tc>
        <w:tc>
          <w:tcPr>
            <w:tcW w:w="2093"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活动场次（期）</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3</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041"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787"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2093"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活动服务人次（家）</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250</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p>
        </w:tc>
        <w:tc>
          <w:tcPr>
            <w:tcW w:w="104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质量指标</w:t>
            </w: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bCs/>
                <w:sz w:val="24"/>
                <w:szCs w:val="24"/>
              </w:rPr>
              <w:t>汕尾“百千万工程”数字普惠金融服务专区</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bCs/>
                <w:sz w:val="24"/>
                <w:szCs w:val="24"/>
              </w:rPr>
              <w:t>上线运营</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bCs/>
                <w:sz w:val="24"/>
                <w:szCs w:val="24"/>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p>
        </w:tc>
        <w:tc>
          <w:tcPr>
            <w:tcW w:w="1041" w:type="dxa"/>
            <w:vMerge w:val="restart"/>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时效指标</w:t>
            </w: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汕尾“百千万工程”数字普惠金融服务专区</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textAlignment w:val="auto"/>
              <w:rPr>
                <w:rFonts w:hint="eastAsia" w:eastAsia="仿宋_GB2312" w:cs="仿宋_GB2312"/>
                <w:bCs/>
                <w:sz w:val="24"/>
                <w:szCs w:val="24"/>
              </w:rPr>
            </w:pPr>
            <w:r>
              <w:rPr>
                <w:rFonts w:hint="eastAsia" w:eastAsia="仿宋_GB2312" w:cs="仿宋_GB2312"/>
                <w:bCs/>
                <w:sz w:val="24"/>
                <w:szCs w:val="24"/>
              </w:rPr>
              <w:t>上半年完成项目立项、采购等；10月上线运营。</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textAlignment w:val="auto"/>
              <w:rPr>
                <w:rFonts w:hint="eastAsia" w:eastAsia="仿宋_GB2312" w:cs="仿宋_GB2312"/>
                <w:bCs/>
                <w:sz w:val="24"/>
                <w:szCs w:val="24"/>
              </w:rPr>
            </w:pPr>
            <w:r>
              <w:rPr>
                <w:rFonts w:hint="eastAsia" w:eastAsia="仿宋_GB2312" w:cs="仿宋_GB2312"/>
                <w:sz w:val="24"/>
                <w:szCs w:val="24"/>
              </w:rPr>
              <w:t>10-12月推广应用，取得一定成效。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041"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贷款贴息补助</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textAlignment w:val="auto"/>
              <w:rPr>
                <w:rFonts w:hint="eastAsia" w:eastAsia="仿宋_GB2312" w:cs="仿宋_GB2312"/>
                <w:bCs/>
                <w:sz w:val="24"/>
                <w:szCs w:val="24"/>
              </w:rPr>
            </w:pPr>
            <w:r>
              <w:rPr>
                <w:rFonts w:hint="eastAsia" w:eastAsia="仿宋_GB2312" w:cs="仿宋_GB2312"/>
                <w:bCs/>
                <w:sz w:val="24"/>
                <w:szCs w:val="24"/>
              </w:rPr>
              <w:t>第一季度，研究制定项目实施方案；6月以前完成贷款贴息工作机制和政策宣导，完成贴息任务10%。</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textAlignment w:val="auto"/>
              <w:rPr>
                <w:rFonts w:hint="eastAsia" w:eastAsia="仿宋_GB2312" w:cs="仿宋_GB2312"/>
                <w:bCs/>
                <w:sz w:val="24"/>
                <w:szCs w:val="24"/>
              </w:rPr>
            </w:pPr>
            <w:r>
              <w:rPr>
                <w:rFonts w:hint="eastAsia" w:eastAsia="仿宋_GB2312" w:cs="仿宋_GB2312"/>
                <w:bCs/>
                <w:sz w:val="24"/>
                <w:szCs w:val="24"/>
              </w:rPr>
              <w:t>9月底前完成贴息任务75%；12月前完成所有贷款贴息补助。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p>
        </w:tc>
        <w:tc>
          <w:tcPr>
            <w:tcW w:w="1041"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开展金融服务“百千万工程”能力提升行动</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6月完成3期活动</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12月前完成6期活动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p>
        </w:tc>
        <w:tc>
          <w:tcPr>
            <w:tcW w:w="104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成本指标</w:t>
            </w: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sz w:val="24"/>
                <w:szCs w:val="24"/>
              </w:rPr>
              <w:t>项目总体支出费用</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大于等于165万元</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330万元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restart"/>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效益</w:t>
            </w:r>
          </w:p>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指标</w:t>
            </w:r>
          </w:p>
        </w:tc>
        <w:tc>
          <w:tcPr>
            <w:tcW w:w="1041" w:type="dxa"/>
            <w:vMerge w:val="restart"/>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经济效益</w:t>
            </w: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汕尾“百千万工程”数字普惠金融服务专区贷款发放规模（亿元）</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完成搭建并上线运营</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6000万元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1041"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普惠贷款增速（亿元）</w:t>
            </w:r>
          </w:p>
        </w:tc>
        <w:tc>
          <w:tcPr>
            <w:tcW w:w="201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高于平均贷款增速</w:t>
            </w:r>
          </w:p>
        </w:tc>
        <w:tc>
          <w:tcPr>
            <w:tcW w:w="1454"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高于平均贷款增速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p>
        </w:tc>
        <w:tc>
          <w:tcPr>
            <w:tcW w:w="104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社会效益</w:t>
            </w: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项目社会效益</w:t>
            </w:r>
          </w:p>
        </w:tc>
        <w:tc>
          <w:tcPr>
            <w:tcW w:w="3465"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汕尾“百千万工程”数字普惠金融服务专区</w:t>
            </w:r>
            <w:r>
              <w:rPr>
                <w:rFonts w:hint="eastAsia" w:eastAsia="仿宋_GB2312" w:cs="仿宋_GB2312"/>
                <w:sz w:val="24"/>
                <w:szCs w:val="24"/>
              </w:rPr>
              <w:t>相比线下网点，提高金融服务便利度和效率。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p>
        </w:tc>
        <w:tc>
          <w:tcPr>
            <w:tcW w:w="104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sz w:val="24"/>
                <w:szCs w:val="24"/>
              </w:rPr>
              <w:t>环境效益</w:t>
            </w: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项目对环境的影响</w:t>
            </w:r>
          </w:p>
        </w:tc>
        <w:tc>
          <w:tcPr>
            <w:tcW w:w="3465"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本项目非高耗能、高污染项目，不会对环境产生负面影响。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vMerge w:val="continue"/>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p>
        </w:tc>
        <w:tc>
          <w:tcPr>
            <w:tcW w:w="104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sz w:val="24"/>
                <w:szCs w:val="24"/>
              </w:rPr>
              <w:t>可持续发展</w:t>
            </w: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sz w:val="24"/>
                <w:szCs w:val="24"/>
              </w:rPr>
              <w:t>项目可持续发展评价</w:t>
            </w:r>
          </w:p>
        </w:tc>
        <w:tc>
          <w:tcPr>
            <w:tcW w:w="3465"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highlight w:val="yellow"/>
              </w:rPr>
            </w:pPr>
            <w:r>
              <w:rPr>
                <w:rFonts w:hint="eastAsia" w:eastAsia="仿宋_GB2312" w:cs="仿宋_GB2312"/>
                <w:bCs/>
                <w:sz w:val="24"/>
                <w:szCs w:val="24"/>
              </w:rPr>
              <w:t>项目</w:t>
            </w:r>
            <w:r>
              <w:rPr>
                <w:rFonts w:hint="eastAsia" w:eastAsia="仿宋_GB2312" w:cs="仿宋_GB2312"/>
                <w:sz w:val="24"/>
                <w:szCs w:val="24"/>
              </w:rPr>
              <w:t>以海丰县为试点，可持续推广覆盖全市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670"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满意度</w:t>
            </w:r>
          </w:p>
        </w:tc>
        <w:tc>
          <w:tcPr>
            <w:tcW w:w="1041" w:type="dxa"/>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服务对象满意度</w:t>
            </w:r>
          </w:p>
        </w:tc>
        <w:tc>
          <w:tcPr>
            <w:tcW w:w="3880"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项目服务企业、金融机构满意度</w:t>
            </w:r>
          </w:p>
        </w:tc>
        <w:tc>
          <w:tcPr>
            <w:tcW w:w="3465" w:type="dxa"/>
            <w:gridSpan w:val="2"/>
            <w:noWrap w:val="0"/>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eastAsia="仿宋_GB2312" w:cs="仿宋_GB2312"/>
                <w:bCs/>
                <w:sz w:val="24"/>
                <w:szCs w:val="24"/>
              </w:rPr>
            </w:pPr>
            <w:r>
              <w:rPr>
                <w:rFonts w:hint="eastAsia" w:eastAsia="仿宋_GB2312" w:cs="仿宋_GB2312"/>
                <w:bCs/>
                <w:sz w:val="24"/>
                <w:szCs w:val="24"/>
              </w:rPr>
              <w:t>不低于85%</w:t>
            </w:r>
          </w:p>
        </w:tc>
      </w:tr>
    </w:tbl>
    <w:p>
      <w:pPr>
        <w:rPr>
          <w:sz w:val="21"/>
          <w:szCs w:val="24"/>
        </w:rPr>
      </w:pPr>
    </w:p>
    <w:p>
      <w:pPr>
        <w:ind w:left="0" w:leftChars="0" w:firstLine="0" w:firstLineChars="0"/>
        <w:rPr>
          <w:sz w:val="21"/>
          <w:szCs w:val="24"/>
        </w:rPr>
        <w:sectPr>
          <w:pgSz w:w="11906" w:h="16838"/>
          <w:pgMar w:top="1440" w:right="1440" w:bottom="1440" w:left="1440" w:header="851" w:footer="992" w:gutter="0"/>
          <w:pgNumType w:fmt="numberInDash"/>
          <w:cols w:space="720" w:num="1"/>
          <w:docGrid w:type="lines" w:linePitch="322" w:charSpace="0"/>
        </w:sectPr>
      </w:pPr>
    </w:p>
    <w:p>
      <w:pPr>
        <w:keepNext/>
        <w:keepLines/>
        <w:numPr>
          <w:ilvl w:val="0"/>
          <w:numId w:val="0"/>
        </w:numPr>
        <w:spacing w:before="0" w:beforeAutospacing="0" w:after="0" w:afterAutospacing="0" w:line="560" w:lineRule="exact"/>
        <w:ind w:left="0" w:leftChars="0" w:firstLine="0"/>
        <w:jc w:val="left"/>
        <w:outlineLvl w:val="1"/>
        <w:rPr>
          <w:rFonts w:hint="eastAsia" w:eastAsia="仿宋_GB2312"/>
          <w:bCs/>
          <w:color w:val="000000"/>
          <w:kern w:val="0"/>
          <w:sz w:val="28"/>
          <w:szCs w:val="28"/>
        </w:rPr>
      </w:pPr>
      <w:r>
        <w:rPr>
          <w:rFonts w:hint="eastAsia" w:eastAsia="仿宋_GB2312"/>
          <w:bCs/>
          <w:color w:val="000000"/>
          <w:kern w:val="0"/>
          <w:sz w:val="28"/>
          <w:szCs w:val="28"/>
        </w:rPr>
        <w:t>2.</w:t>
      </w:r>
      <w:r>
        <w:rPr>
          <w:rFonts w:hint="eastAsia" w:eastAsia="仿宋_GB2312"/>
          <w:b/>
          <w:color w:val="000000"/>
          <w:kern w:val="0"/>
          <w:sz w:val="28"/>
          <w:szCs w:val="28"/>
        </w:rPr>
        <w:t>潮州市“百县千镇万村高质量发展工程”信贷风险补偿资金项目绩效目标表</w:t>
      </w:r>
    </w:p>
    <w:tbl>
      <w:tblPr>
        <w:tblStyle w:val="3"/>
        <w:tblW w:w="9071" w:type="dxa"/>
        <w:tblInd w:w="0" w:type="dxa"/>
        <w:tblLayout w:type="fixed"/>
        <w:tblCellMar>
          <w:top w:w="15" w:type="dxa"/>
          <w:left w:w="15" w:type="dxa"/>
          <w:bottom w:w="15" w:type="dxa"/>
          <w:right w:w="15" w:type="dxa"/>
        </w:tblCellMar>
      </w:tblPr>
      <w:tblGrid>
        <w:gridCol w:w="1534"/>
        <w:gridCol w:w="1458"/>
        <w:gridCol w:w="2160"/>
        <w:gridCol w:w="1951"/>
        <w:gridCol w:w="1968"/>
      </w:tblGrid>
      <w:tr>
        <w:tblPrEx>
          <w:tblCellMar>
            <w:top w:w="15" w:type="dxa"/>
            <w:left w:w="15" w:type="dxa"/>
            <w:bottom w:w="15" w:type="dxa"/>
            <w:right w:w="15" w:type="dxa"/>
          </w:tblCellMar>
        </w:tblPrEx>
        <w:trPr>
          <w:trHeight w:val="23" w:hRule="atLeast"/>
        </w:trPr>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申报单位</w:t>
            </w:r>
          </w:p>
        </w:tc>
        <w:tc>
          <w:tcPr>
            <w:tcW w:w="7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潮州市金融工作局</w:t>
            </w:r>
          </w:p>
        </w:tc>
      </w:tr>
      <w:tr>
        <w:tblPrEx>
          <w:tblCellMar>
            <w:top w:w="15" w:type="dxa"/>
            <w:left w:w="15" w:type="dxa"/>
            <w:bottom w:w="15" w:type="dxa"/>
            <w:right w:w="15" w:type="dxa"/>
          </w:tblCellMar>
        </w:tblPrEx>
        <w:trPr>
          <w:trHeight w:val="23" w:hRule="atLeast"/>
        </w:trPr>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支持金额</w:t>
            </w:r>
          </w:p>
        </w:tc>
        <w:tc>
          <w:tcPr>
            <w:tcW w:w="7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400万元</w:t>
            </w:r>
          </w:p>
        </w:tc>
      </w:tr>
      <w:tr>
        <w:tblPrEx>
          <w:tblCellMar>
            <w:top w:w="15" w:type="dxa"/>
            <w:left w:w="15" w:type="dxa"/>
            <w:bottom w:w="15" w:type="dxa"/>
            <w:right w:w="15" w:type="dxa"/>
          </w:tblCellMar>
        </w:tblPrEx>
        <w:trPr>
          <w:trHeight w:val="23" w:hRule="atLeast"/>
        </w:trPr>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总体目标</w:t>
            </w:r>
          </w:p>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（2026年底前）</w:t>
            </w:r>
          </w:p>
        </w:tc>
        <w:tc>
          <w:tcPr>
            <w:tcW w:w="75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通过潮州市“百千万工程”信贷风险补偿资金，引导金融机构加大信贷投放，进一步扩大小微企业及三农融资业务规模，降低小微企业及三农融资成本，更好发挥省级财政资金的引导作用，项目实施期内纳入风险补偿资金的担保贷款发放金额不少于25000万元。</w:t>
            </w:r>
          </w:p>
        </w:tc>
      </w:tr>
      <w:tr>
        <w:tblPrEx>
          <w:tblCellMar>
            <w:top w:w="15" w:type="dxa"/>
            <w:left w:w="15" w:type="dxa"/>
            <w:bottom w:w="15" w:type="dxa"/>
            <w:right w:w="15" w:type="dxa"/>
          </w:tblCellMar>
        </w:tblPrEx>
        <w:trPr>
          <w:trHeight w:val="23" w:hRule="atLeast"/>
        </w:trPr>
        <w:tc>
          <w:tcPr>
            <w:tcW w:w="153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阶段目标</w:t>
            </w:r>
          </w:p>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（2024年底前）</w:t>
            </w:r>
          </w:p>
        </w:tc>
        <w:tc>
          <w:tcPr>
            <w:tcW w:w="7537"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1.调研并制定潮州市“百千万工程”信贷风险补偿资金管理办法。</w:t>
            </w:r>
          </w:p>
          <w:p>
            <w:pPr>
              <w:keepNext w:val="0"/>
              <w:keepLines w:val="0"/>
              <w:pageBreakBefore w:val="0"/>
              <w:kinsoku/>
              <w:wordWrap/>
              <w:overflowPunct/>
              <w:topLinePunct w:val="0"/>
              <w:autoSpaceDE w:val="0"/>
              <w:autoSpaceDN w:val="0"/>
              <w:bidi w:val="0"/>
              <w:adjustRightInd w:val="0"/>
              <w:snapToGrid w:val="0"/>
              <w:spacing w:line="400" w:lineRule="exact"/>
              <w:ind w:firstLine="0" w:firstLineChars="0"/>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2. 依托风险补偿资金，开展“政银担”合作，2024年底前纳入风险补偿资金的担保贷款发放金额不少于5000万元，扶持小微企业或三农的户次不少于25次。</w:t>
            </w:r>
          </w:p>
        </w:tc>
      </w:tr>
      <w:tr>
        <w:tblPrEx>
          <w:tblCellMar>
            <w:top w:w="15" w:type="dxa"/>
            <w:left w:w="15" w:type="dxa"/>
            <w:bottom w:w="15" w:type="dxa"/>
            <w:right w:w="15" w:type="dxa"/>
          </w:tblCellMar>
        </w:tblPrEx>
        <w:trPr>
          <w:trHeight w:val="23" w:hRule="atLeast"/>
        </w:trPr>
        <w:tc>
          <w:tcPr>
            <w:tcW w:w="2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目标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指标内容及口径</w:t>
            </w:r>
          </w:p>
        </w:tc>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阶段目标</w:t>
            </w:r>
          </w:p>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（2024年）</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总体目标</w:t>
            </w:r>
          </w:p>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（2026年）</w:t>
            </w:r>
          </w:p>
        </w:tc>
      </w:tr>
      <w:tr>
        <w:tblPrEx>
          <w:tblCellMar>
            <w:top w:w="15" w:type="dxa"/>
            <w:left w:w="15" w:type="dxa"/>
            <w:bottom w:w="15" w:type="dxa"/>
            <w:right w:w="15" w:type="dxa"/>
          </w:tblCellMar>
        </w:tblPrEx>
        <w:trPr>
          <w:trHeight w:val="23" w:hRule="atLeast"/>
        </w:trPr>
        <w:tc>
          <w:tcPr>
            <w:tcW w:w="15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产出</w:t>
            </w:r>
          </w:p>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指标</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数量指标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扶持小微企业或三农的户次</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left"/>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累计不少于25户次</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left"/>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累计不少于125户次</w:t>
            </w:r>
          </w:p>
        </w:tc>
      </w:tr>
      <w:tr>
        <w:tblPrEx>
          <w:tblCellMar>
            <w:top w:w="15" w:type="dxa"/>
            <w:left w:w="15" w:type="dxa"/>
            <w:bottom w:w="15" w:type="dxa"/>
            <w:right w:w="15" w:type="dxa"/>
          </w:tblCellMar>
        </w:tblPrEx>
        <w:trPr>
          <w:trHeight w:val="23" w:hRule="atLeast"/>
        </w:trPr>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质量指标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担保收费优惠</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left"/>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平均年化担保费率≤0.8%</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left"/>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平均年化担保费率≤0.8%</w:t>
            </w:r>
          </w:p>
        </w:tc>
      </w:tr>
      <w:tr>
        <w:tblPrEx>
          <w:tblCellMar>
            <w:top w:w="15" w:type="dxa"/>
            <w:left w:w="15" w:type="dxa"/>
            <w:bottom w:w="15" w:type="dxa"/>
            <w:right w:w="15" w:type="dxa"/>
          </w:tblCellMar>
        </w:tblPrEx>
        <w:trPr>
          <w:trHeight w:val="23" w:hRule="atLeast"/>
        </w:trPr>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时效指标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信贷风险补偿资金设立进度</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left"/>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完成资金拨付，并设立信贷风险补偿资金。</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left"/>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完成资金拨付，并设立信贷风险补偿资金。</w:t>
            </w:r>
          </w:p>
        </w:tc>
      </w:tr>
      <w:tr>
        <w:tblPrEx>
          <w:tblCellMar>
            <w:top w:w="15" w:type="dxa"/>
            <w:left w:w="15" w:type="dxa"/>
            <w:bottom w:w="15" w:type="dxa"/>
            <w:right w:w="15" w:type="dxa"/>
          </w:tblCellMar>
        </w:tblPrEx>
        <w:trPr>
          <w:trHeight w:val="23" w:hRule="atLeast"/>
        </w:trPr>
        <w:tc>
          <w:tcPr>
            <w:tcW w:w="1534"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效益</w:t>
            </w:r>
          </w:p>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指标</w:t>
            </w:r>
          </w:p>
        </w:tc>
        <w:tc>
          <w:tcPr>
            <w:tcW w:w="14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经济效益</w:t>
            </w:r>
          </w:p>
        </w:tc>
        <w:tc>
          <w:tcPr>
            <w:tcW w:w="2160" w:type="dxa"/>
            <w:tcBorders>
              <w:top w:val="single" w:color="auto"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担保贷款规模（累计发生额）</w:t>
            </w:r>
          </w:p>
        </w:tc>
        <w:tc>
          <w:tcPr>
            <w:tcW w:w="1951" w:type="dxa"/>
            <w:tcBorders>
              <w:top w:val="single" w:color="auto"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不少于5000万元</w:t>
            </w:r>
          </w:p>
        </w:tc>
        <w:tc>
          <w:tcPr>
            <w:tcW w:w="196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不少于25000万元</w:t>
            </w:r>
          </w:p>
        </w:tc>
      </w:tr>
      <w:tr>
        <w:tblPrEx>
          <w:tblCellMar>
            <w:top w:w="15" w:type="dxa"/>
            <w:left w:w="15" w:type="dxa"/>
            <w:bottom w:w="15" w:type="dxa"/>
            <w:right w:w="15" w:type="dxa"/>
          </w:tblCellMar>
        </w:tblPrEx>
        <w:trPr>
          <w:trHeight w:val="23" w:hRule="atLeast"/>
        </w:trPr>
        <w:tc>
          <w:tcPr>
            <w:tcW w:w="15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社会效益</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r>
      <w:tr>
        <w:tblPrEx>
          <w:tblCellMar>
            <w:top w:w="15" w:type="dxa"/>
            <w:left w:w="15" w:type="dxa"/>
            <w:bottom w:w="15" w:type="dxa"/>
            <w:right w:w="15" w:type="dxa"/>
          </w:tblCellMar>
        </w:tblPrEx>
        <w:trPr>
          <w:trHeight w:val="23" w:hRule="atLeast"/>
        </w:trPr>
        <w:tc>
          <w:tcPr>
            <w:tcW w:w="153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snapToGrid w:val="0"/>
                <w:color w:val="000000"/>
                <w:kern w:val="0"/>
                <w:sz w:val="24"/>
                <w:szCs w:val="24"/>
              </w:rPr>
              <w:t>环境效益</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r>
      <w:tr>
        <w:tblPrEx>
          <w:tblCellMar>
            <w:top w:w="15" w:type="dxa"/>
            <w:left w:w="15" w:type="dxa"/>
            <w:bottom w:w="15" w:type="dxa"/>
            <w:right w:w="15" w:type="dxa"/>
          </w:tblCellMar>
        </w:tblPrEx>
        <w:trPr>
          <w:trHeight w:val="23" w:hRule="atLeast"/>
        </w:trPr>
        <w:tc>
          <w:tcPr>
            <w:tcW w:w="153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c>
          <w:tcPr>
            <w:tcW w:w="14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snapToGrid w:val="0"/>
                <w:color w:val="000000"/>
                <w:kern w:val="0"/>
                <w:sz w:val="24"/>
                <w:szCs w:val="24"/>
              </w:rPr>
              <w:t>可持续发展</w:t>
            </w:r>
          </w:p>
        </w:tc>
        <w:tc>
          <w:tcPr>
            <w:tcW w:w="21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highlight w:val="yellow"/>
              </w:rPr>
            </w:pPr>
            <w:r>
              <w:rPr>
                <w:rFonts w:hint="eastAsia" w:eastAsia="仿宋_GB2312" w:cs="仿宋_GB2312"/>
                <w:bCs/>
                <w:snapToGrid w:val="0"/>
                <w:color w:val="000000"/>
                <w:kern w:val="0"/>
                <w:sz w:val="24"/>
                <w:szCs w:val="24"/>
              </w:rPr>
              <w:t>项目持续期</w:t>
            </w:r>
          </w:p>
        </w:tc>
        <w:tc>
          <w:tcPr>
            <w:tcW w:w="1951"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highlight w:val="yellow"/>
              </w:rPr>
            </w:pPr>
          </w:p>
        </w:tc>
        <w:tc>
          <w:tcPr>
            <w:tcW w:w="196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highlight w:val="yellow"/>
              </w:rPr>
            </w:pPr>
            <w:r>
              <w:rPr>
                <w:rFonts w:hint="eastAsia" w:eastAsia="仿宋_GB2312" w:cs="仿宋_GB2312"/>
                <w:bCs/>
                <w:snapToGrid w:val="0"/>
                <w:color w:val="000000"/>
                <w:kern w:val="0"/>
                <w:sz w:val="24"/>
                <w:szCs w:val="24"/>
              </w:rPr>
              <w:t>3年</w:t>
            </w:r>
          </w:p>
        </w:tc>
      </w:tr>
      <w:tr>
        <w:tblPrEx>
          <w:tblCellMar>
            <w:top w:w="15" w:type="dxa"/>
            <w:left w:w="15" w:type="dxa"/>
            <w:bottom w:w="15" w:type="dxa"/>
            <w:right w:w="15" w:type="dxa"/>
          </w:tblCellMar>
        </w:tblPrEx>
        <w:trPr>
          <w:trHeight w:val="23" w:hRule="atLeast"/>
        </w:trPr>
        <w:tc>
          <w:tcPr>
            <w:tcW w:w="1534"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满意度</w:t>
            </w:r>
          </w:p>
        </w:tc>
        <w:tc>
          <w:tcPr>
            <w:tcW w:w="145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snapToGrid w:val="0"/>
                <w:color w:val="000000"/>
                <w:kern w:val="0"/>
                <w:sz w:val="24"/>
                <w:szCs w:val="24"/>
              </w:rPr>
            </w:pPr>
            <w:r>
              <w:rPr>
                <w:rFonts w:hint="eastAsia" w:eastAsia="仿宋_GB2312" w:cs="仿宋_GB2312"/>
                <w:snapToGrid w:val="0"/>
                <w:color w:val="000000"/>
                <w:kern w:val="0"/>
                <w:sz w:val="24"/>
                <w:szCs w:val="24"/>
              </w:rPr>
              <w:t>满意度</w:t>
            </w:r>
          </w:p>
        </w:tc>
        <w:tc>
          <w:tcPr>
            <w:tcW w:w="21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用户满意度</w:t>
            </w:r>
          </w:p>
        </w:tc>
        <w:tc>
          <w:tcPr>
            <w:tcW w:w="19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p>
        </w:tc>
        <w:tc>
          <w:tcPr>
            <w:tcW w:w="1968"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eastAsia="仿宋_GB2312" w:cs="仿宋_GB2312"/>
                <w:bCs/>
                <w:snapToGrid w:val="0"/>
                <w:color w:val="000000"/>
                <w:kern w:val="0"/>
                <w:sz w:val="24"/>
                <w:szCs w:val="24"/>
              </w:rPr>
            </w:pPr>
            <w:r>
              <w:rPr>
                <w:rFonts w:hint="eastAsia" w:eastAsia="仿宋_GB2312" w:cs="仿宋_GB2312"/>
                <w:bCs/>
                <w:snapToGrid w:val="0"/>
                <w:color w:val="000000"/>
                <w:kern w:val="0"/>
                <w:sz w:val="24"/>
                <w:szCs w:val="24"/>
              </w:rPr>
              <w:t xml:space="preserve">≥90% </w:t>
            </w:r>
          </w:p>
        </w:tc>
      </w:tr>
    </w:tbl>
    <w:p>
      <w:pPr>
        <w:rPr>
          <w:rFonts w:hint="eastAsia"/>
          <w:sz w:val="21"/>
          <w:szCs w:val="24"/>
        </w:rPr>
        <w:sectPr>
          <w:pgSz w:w="11906" w:h="16838"/>
          <w:pgMar w:top="1440" w:right="1440" w:bottom="1440" w:left="1440" w:header="851" w:footer="992" w:gutter="0"/>
          <w:pgNumType w:fmt="numberInDash"/>
          <w:cols w:space="720" w:num="1"/>
          <w:docGrid w:type="lines" w:linePitch="322" w:charSpace="0"/>
        </w:sectPr>
      </w:pPr>
    </w:p>
    <w:p>
      <w:pPr>
        <w:keepNext/>
        <w:keepLines/>
        <w:numPr>
          <w:ilvl w:val="0"/>
          <w:numId w:val="0"/>
        </w:numPr>
        <w:spacing w:before="0" w:beforeAutospacing="0" w:after="0" w:afterAutospacing="0" w:line="560" w:lineRule="exact"/>
        <w:ind w:left="0" w:leftChars="0" w:firstLine="0"/>
        <w:jc w:val="left"/>
        <w:outlineLvl w:val="1"/>
        <w:rPr>
          <w:rFonts w:eastAsia="仿宋_GB2312"/>
          <w:bCs/>
          <w:color w:val="000000"/>
          <w:kern w:val="0"/>
          <w:sz w:val="28"/>
          <w:szCs w:val="28"/>
        </w:rPr>
      </w:pPr>
      <w:r>
        <w:rPr>
          <w:rFonts w:hint="eastAsia" w:eastAsia="仿宋_GB2312"/>
          <w:bCs/>
          <w:color w:val="000000"/>
          <w:kern w:val="0"/>
          <w:sz w:val="28"/>
          <w:szCs w:val="28"/>
        </w:rPr>
        <w:t>3.</w:t>
      </w:r>
      <w:r>
        <w:rPr>
          <w:rFonts w:hint="eastAsia" w:eastAsia="仿宋_GB2312"/>
          <w:b/>
          <w:color w:val="000000"/>
          <w:kern w:val="0"/>
          <w:sz w:val="28"/>
          <w:szCs w:val="28"/>
        </w:rPr>
        <w:t>促进广东区域性股权市场高质量发展 建设非上市证券集中托管平台绩效目标表</w:t>
      </w:r>
    </w:p>
    <w:tbl>
      <w:tblPr>
        <w:tblStyle w:val="3"/>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6"/>
        <w:gridCol w:w="1716"/>
        <w:gridCol w:w="2851"/>
        <w:gridCol w:w="1386"/>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申报单位</w:t>
            </w:r>
          </w:p>
        </w:tc>
        <w:tc>
          <w:tcPr>
            <w:tcW w:w="8122" w:type="dxa"/>
            <w:gridSpan w:val="4"/>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广东股权交易中心股份有限公司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支持金额</w:t>
            </w:r>
          </w:p>
        </w:tc>
        <w:tc>
          <w:tcPr>
            <w:tcW w:w="8122" w:type="dxa"/>
            <w:gridSpan w:val="4"/>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年度目标</w:t>
            </w:r>
          </w:p>
        </w:tc>
        <w:tc>
          <w:tcPr>
            <w:tcW w:w="8122" w:type="dxa"/>
            <w:gridSpan w:val="4"/>
            <w:noWrap w:val="0"/>
            <w:vAlign w:val="center"/>
          </w:tcPr>
          <w:p>
            <w:pPr>
              <w:keepNext w:val="0"/>
              <w:keepLines w:val="0"/>
              <w:pageBreakBefore w:val="0"/>
              <w:kinsoku/>
              <w:wordWrap/>
              <w:overflowPunct/>
              <w:topLinePunct w:val="0"/>
              <w:bidi w:val="0"/>
              <w:spacing w:line="360" w:lineRule="exact"/>
              <w:ind w:firstLine="480" w:firstLineChars="200"/>
              <w:textAlignment w:val="auto"/>
              <w:rPr>
                <w:rFonts w:hint="eastAsia" w:eastAsia="仿宋_GB2312" w:cs="仿宋_GB2312"/>
                <w:sz w:val="24"/>
                <w:szCs w:val="24"/>
              </w:rPr>
            </w:pPr>
            <w:r>
              <w:rPr>
                <w:rFonts w:hint="eastAsia" w:eastAsia="仿宋_GB2312" w:cs="仿宋_GB2312"/>
                <w:sz w:val="24"/>
                <w:szCs w:val="24"/>
              </w:rPr>
              <w:t>结合广东经济发展和资本市场建设实际，依托广东股权交易中心（以下简称广东股交）高质量建设全省集中、规范统一、安全高效的非上市证券集中托管平台，引导全省非上市股份公司以及相关中小企业、地方金融组织等向托管平台集聚，实施统一的登记托管和规范的股权管理，进一步完善广东多层次资本市场生态，促进非上市证券流转和中小企业直接融资。主要包括：</w:t>
            </w:r>
            <w:r>
              <w:rPr>
                <w:rFonts w:hint="eastAsia" w:eastAsia="仿宋_GB2312" w:cs="仿宋_GB2312"/>
                <w:b/>
                <w:bCs/>
                <w:sz w:val="24"/>
                <w:szCs w:val="24"/>
              </w:rPr>
              <w:t>一是</w:t>
            </w:r>
            <w:r>
              <w:rPr>
                <w:rFonts w:hint="eastAsia" w:eastAsia="仿宋_GB2312" w:cs="仿宋_GB2312"/>
                <w:sz w:val="24"/>
                <w:szCs w:val="24"/>
              </w:rPr>
              <w:t>引导更多的非上市企业高效、低成本地进入区域性股权市场，提高区域性股权市场业务覆盖面，向市场提供规范的股权登记、确权及培育孵化等综合服务，提升中小企业金融服务普惠性和可得性；</w:t>
            </w:r>
            <w:r>
              <w:rPr>
                <w:rFonts w:hint="eastAsia" w:eastAsia="仿宋_GB2312" w:cs="仿宋_GB2312"/>
                <w:b/>
                <w:bCs/>
                <w:sz w:val="24"/>
                <w:szCs w:val="24"/>
              </w:rPr>
              <w:t>二是</w:t>
            </w:r>
            <w:r>
              <w:rPr>
                <w:rFonts w:hint="eastAsia" w:eastAsia="仿宋_GB2312" w:cs="仿宋_GB2312"/>
                <w:sz w:val="24"/>
                <w:szCs w:val="24"/>
              </w:rPr>
              <w:t>依托区块链技术，高效开展全链条股权穿透式管理，提升股权登记托管效力和股权交易效率；</w:t>
            </w:r>
            <w:r>
              <w:rPr>
                <w:rFonts w:hint="eastAsia" w:eastAsia="仿宋_GB2312" w:cs="仿宋_GB2312"/>
                <w:b/>
                <w:bCs/>
                <w:sz w:val="24"/>
                <w:szCs w:val="24"/>
              </w:rPr>
              <w:t>三是</w:t>
            </w:r>
            <w:r>
              <w:rPr>
                <w:rFonts w:hint="eastAsia" w:eastAsia="仿宋_GB2312" w:cs="仿宋_GB2312"/>
                <w:sz w:val="24"/>
                <w:szCs w:val="24"/>
              </w:rPr>
              <w:t>创新提供信息服务、证券托管估值、基金份额托管、私募股权投融资、证券发行等综合金融服务，丰富中小企业融资交易服务，更好地服务实体经济发展。</w:t>
            </w:r>
          </w:p>
          <w:p>
            <w:pPr>
              <w:keepNext w:val="0"/>
              <w:keepLines w:val="0"/>
              <w:pageBreakBefore w:val="0"/>
              <w:kinsoku/>
              <w:wordWrap/>
              <w:overflowPunct/>
              <w:topLinePunct w:val="0"/>
              <w:bidi w:val="0"/>
              <w:spacing w:line="360" w:lineRule="exact"/>
              <w:ind w:firstLine="480" w:firstLineChars="200"/>
              <w:textAlignment w:val="auto"/>
              <w:rPr>
                <w:rFonts w:hint="eastAsia" w:eastAsia="仿宋_GB2312" w:cs="仿宋_GB2312"/>
                <w:sz w:val="24"/>
                <w:szCs w:val="24"/>
              </w:rPr>
            </w:pPr>
            <w:r>
              <w:rPr>
                <w:rFonts w:hint="eastAsia" w:eastAsia="仿宋_GB2312" w:cs="仿宋_GB2312"/>
                <w:sz w:val="24"/>
                <w:szCs w:val="24"/>
              </w:rPr>
              <w:t>力争到2024年，通过非上市证券集中托管平台建设，提高区域性股权市场业务覆盖面，新增托管企业200家，新增托管总股本100亿股；通过开展各类培训、路演等活动，促进非上市证券流转和中小企业直接融资，推动实现融资交易200亿元，切实为企业纾困解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阶段目标</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（6月底前）</w:t>
            </w:r>
          </w:p>
        </w:tc>
        <w:tc>
          <w:tcPr>
            <w:tcW w:w="8122" w:type="dxa"/>
            <w:gridSpan w:val="4"/>
            <w:noWrap w:val="0"/>
            <w:vAlign w:val="center"/>
          </w:tcPr>
          <w:p>
            <w:pPr>
              <w:keepNext w:val="0"/>
              <w:keepLines w:val="0"/>
              <w:pageBreakBefore w:val="0"/>
              <w:kinsoku/>
              <w:wordWrap/>
              <w:overflowPunct/>
              <w:topLinePunct w:val="0"/>
              <w:bidi w:val="0"/>
              <w:spacing w:line="360" w:lineRule="exact"/>
              <w:ind w:firstLine="480" w:firstLineChars="200"/>
              <w:textAlignment w:val="auto"/>
              <w:rPr>
                <w:rFonts w:hint="eastAsia" w:eastAsia="仿宋_GB2312" w:cs="仿宋_GB2312"/>
                <w:sz w:val="24"/>
                <w:szCs w:val="24"/>
              </w:rPr>
            </w:pPr>
            <w:r>
              <w:rPr>
                <w:rFonts w:hint="eastAsia" w:eastAsia="仿宋_GB2312" w:cs="仿宋_GB2312"/>
                <w:sz w:val="24"/>
                <w:szCs w:val="24"/>
              </w:rPr>
              <w:t>力争2024年6月底，非上市证券集中托管平台逐步形成，托管企业范围得以扩大，新增托管企业100家，新增托管总股本50亿股；托管效能得以提升，以托管为核心的中小企业直接融资体系基本形成，推动实现融资交易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2" w:type="dxa"/>
            <w:gridSpan w:val="2"/>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目标</w:t>
            </w:r>
          </w:p>
        </w:tc>
        <w:tc>
          <w:tcPr>
            <w:tcW w:w="2851"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指标内容及口径</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right="-250" w:rightChars="-78"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阶段目标</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产出</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指标</w:t>
            </w:r>
          </w:p>
        </w:tc>
        <w:tc>
          <w:tcPr>
            <w:tcW w:w="1716"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数量指标</w:t>
            </w:r>
          </w:p>
        </w:tc>
        <w:tc>
          <w:tcPr>
            <w:tcW w:w="2851" w:type="dxa"/>
            <w:noWrap w:val="0"/>
            <w:vAlign w:val="center"/>
          </w:tcPr>
          <w:p>
            <w:pPr>
              <w:keepNext w:val="0"/>
              <w:keepLines w:val="0"/>
              <w:pageBreakBefore w:val="0"/>
              <w:kinsoku/>
              <w:wordWrap/>
              <w:overflowPunct/>
              <w:topLinePunct w:val="0"/>
              <w:bidi w:val="0"/>
              <w:spacing w:line="360" w:lineRule="exact"/>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举办企业服务培训、研讨、论坛等活动次数（次）</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15次</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2851"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企业宣传次数（次）</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6次</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2851"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宣传覆盖企业家数（家）</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25家</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50家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2851"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企业调研走访交流家次数（家次）</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75家</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150家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2851" w:type="dxa"/>
            <w:noWrap w:val="0"/>
            <w:vAlign w:val="center"/>
          </w:tcPr>
          <w:p>
            <w:pPr>
              <w:keepNext w:val="0"/>
              <w:keepLines w:val="0"/>
              <w:pageBreakBefore w:val="0"/>
              <w:kinsoku/>
              <w:wordWrap/>
              <w:overflowPunct/>
              <w:topLinePunct w:val="0"/>
              <w:bidi w:val="0"/>
              <w:spacing w:line="360" w:lineRule="exact"/>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获得计算机软件著作权（项）</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1项</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2851" w:type="dxa"/>
            <w:noWrap w:val="0"/>
            <w:vAlign w:val="center"/>
          </w:tcPr>
          <w:p>
            <w:pPr>
              <w:keepNext w:val="0"/>
              <w:keepLines w:val="0"/>
              <w:pageBreakBefore w:val="0"/>
              <w:kinsoku/>
              <w:wordWrap/>
              <w:overflowPunct/>
              <w:topLinePunct w:val="0"/>
              <w:bidi w:val="0"/>
              <w:spacing w:line="360" w:lineRule="exact"/>
              <w:textAlignment w:val="auto"/>
              <w:rPr>
                <w:rFonts w:hint="eastAsia" w:eastAsia="仿宋_GB2312" w:cs="仿宋_GB2312"/>
                <w:bCs/>
                <w:sz w:val="24"/>
                <w:szCs w:val="24"/>
              </w:rPr>
            </w:pPr>
            <w:r>
              <w:rPr>
                <w:rFonts w:hint="eastAsia" w:eastAsia="仿宋_GB2312" w:cs="仿宋_GB2312"/>
                <w:bCs/>
                <w:snapToGrid w:val="0"/>
                <w:kern w:val="0"/>
                <w:sz w:val="24"/>
                <w:szCs w:val="24"/>
              </w:rPr>
              <w:t>证券事务代表培训企业数量（累计）（家）</w:t>
            </w:r>
          </w:p>
        </w:tc>
        <w:tc>
          <w:tcPr>
            <w:tcW w:w="1386" w:type="dxa"/>
            <w:noWrap w:val="0"/>
            <w:vAlign w:val="center"/>
          </w:tcPr>
          <w:p>
            <w:pPr>
              <w:keepNext w:val="0"/>
              <w:keepLines w:val="0"/>
              <w:pageBreakBefore w:val="0"/>
              <w:kinsoku/>
              <w:wordWrap/>
              <w:overflowPunct/>
              <w:topLinePunct w:val="0"/>
              <w:bidi w:val="0"/>
              <w:spacing w:line="360" w:lineRule="exact"/>
              <w:jc w:val="center"/>
              <w:textAlignment w:val="auto"/>
              <w:rPr>
                <w:rFonts w:hint="eastAsia" w:eastAsia="仿宋_GB2312" w:cs="仿宋_GB2312"/>
                <w:bCs/>
                <w:sz w:val="24"/>
                <w:szCs w:val="24"/>
              </w:rPr>
            </w:pPr>
            <w:r>
              <w:rPr>
                <w:rFonts w:hint="eastAsia" w:eastAsia="仿宋_GB2312" w:cs="仿宋_GB2312"/>
                <w:bCs/>
                <w:snapToGrid w:val="0"/>
                <w:kern w:val="0"/>
                <w:sz w:val="24"/>
                <w:szCs w:val="24"/>
              </w:rPr>
              <w:t>850家</w:t>
            </w:r>
          </w:p>
        </w:tc>
        <w:tc>
          <w:tcPr>
            <w:tcW w:w="2169" w:type="dxa"/>
            <w:noWrap w:val="0"/>
            <w:vAlign w:val="center"/>
          </w:tcPr>
          <w:p>
            <w:pPr>
              <w:keepNext w:val="0"/>
              <w:keepLines w:val="0"/>
              <w:pageBreakBefore w:val="0"/>
              <w:kinsoku/>
              <w:wordWrap/>
              <w:overflowPunct/>
              <w:topLinePunct w:val="0"/>
              <w:bidi w:val="0"/>
              <w:spacing w:line="360" w:lineRule="exact"/>
              <w:jc w:val="center"/>
              <w:textAlignment w:val="auto"/>
              <w:rPr>
                <w:rFonts w:hint="eastAsia" w:eastAsia="仿宋_GB2312" w:cs="仿宋_GB2312"/>
                <w:bCs/>
                <w:sz w:val="24"/>
                <w:szCs w:val="24"/>
              </w:rPr>
            </w:pPr>
            <w:r>
              <w:rPr>
                <w:rFonts w:hint="eastAsia" w:eastAsia="仿宋_GB2312" w:cs="仿宋_GB2312"/>
                <w:bCs/>
                <w:snapToGrid w:val="0"/>
                <w:kern w:val="0"/>
                <w:sz w:val="24"/>
                <w:szCs w:val="24"/>
              </w:rPr>
              <w:t>900家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质量指标</w:t>
            </w:r>
          </w:p>
        </w:tc>
        <w:tc>
          <w:tcPr>
            <w:tcW w:w="2851" w:type="dxa"/>
            <w:noWrap w:val="0"/>
            <w:vAlign w:val="center"/>
          </w:tcPr>
          <w:p>
            <w:pPr>
              <w:keepNext w:val="0"/>
              <w:keepLines w:val="0"/>
              <w:pageBreakBefore w:val="0"/>
              <w:kinsoku/>
              <w:wordWrap/>
              <w:overflowPunct/>
              <w:topLinePunct w:val="0"/>
              <w:bidi w:val="0"/>
              <w:spacing w:line="360" w:lineRule="exact"/>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新增托管企业回访率（%）</w:t>
            </w:r>
          </w:p>
        </w:tc>
        <w:tc>
          <w:tcPr>
            <w:tcW w:w="1386" w:type="dxa"/>
            <w:noWrap w:val="0"/>
            <w:vAlign w:val="center"/>
          </w:tcPr>
          <w:p>
            <w:pPr>
              <w:keepNext w:val="0"/>
              <w:keepLines w:val="0"/>
              <w:pageBreakBefore w:val="0"/>
              <w:kinsoku/>
              <w:wordWrap/>
              <w:overflowPunct/>
              <w:topLinePunct w:val="0"/>
              <w:bidi w:val="0"/>
              <w:spacing w:line="360" w:lineRule="exact"/>
              <w:ind w:firstLine="480" w:firstLineChars="200"/>
              <w:textAlignment w:val="auto"/>
              <w:rPr>
                <w:rFonts w:hint="eastAsia" w:eastAsia="仿宋_GB2312" w:cs="仿宋_GB2312"/>
                <w:bCs/>
                <w:color w:val="FF0000"/>
                <w:sz w:val="24"/>
                <w:szCs w:val="24"/>
              </w:rPr>
            </w:pPr>
            <w:r>
              <w:rPr>
                <w:rFonts w:hint="eastAsia" w:eastAsia="仿宋_GB2312" w:cs="仿宋_GB2312"/>
                <w:bCs/>
                <w:snapToGrid w:val="0"/>
                <w:kern w:val="0"/>
                <w:sz w:val="24"/>
                <w:szCs w:val="24"/>
              </w:rPr>
              <w:t>—</w:t>
            </w:r>
          </w:p>
        </w:tc>
        <w:tc>
          <w:tcPr>
            <w:tcW w:w="2169" w:type="dxa"/>
            <w:noWrap w:val="0"/>
            <w:vAlign w:val="center"/>
          </w:tcPr>
          <w:p>
            <w:pPr>
              <w:keepNext w:val="0"/>
              <w:keepLines w:val="0"/>
              <w:pageBreakBefore w:val="0"/>
              <w:kinsoku/>
              <w:wordWrap/>
              <w:overflowPunct/>
              <w:topLinePunct w:val="0"/>
              <w:bidi w:val="0"/>
              <w:spacing w:line="360" w:lineRule="exact"/>
              <w:jc w:val="center"/>
              <w:textAlignment w:val="auto"/>
              <w:rPr>
                <w:rFonts w:hint="eastAsia" w:eastAsia="仿宋_GB2312" w:cs="仿宋_GB2312"/>
                <w:bCs/>
                <w:color w:val="FF0000"/>
                <w:sz w:val="24"/>
                <w:szCs w:val="24"/>
              </w:rPr>
            </w:pPr>
            <w:r>
              <w:rPr>
                <w:rFonts w:hint="eastAsia" w:eastAsia="仿宋_GB2312" w:cs="仿宋_GB2312"/>
                <w:bCs/>
                <w:snapToGrid w:val="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经济效益</w:t>
            </w:r>
          </w:p>
        </w:tc>
        <w:tc>
          <w:tcPr>
            <w:tcW w:w="2851"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新增融资交易额（亿元）</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100亿元</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p>
        </w:tc>
        <w:tc>
          <w:tcPr>
            <w:tcW w:w="2851"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新增托管企业数量（家）</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100家</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p>
        </w:tc>
        <w:tc>
          <w:tcPr>
            <w:tcW w:w="2851"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新增托管总股本数量（亿股）</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50亿股</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100亿股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社会效益</w:t>
            </w:r>
          </w:p>
        </w:tc>
        <w:tc>
          <w:tcPr>
            <w:tcW w:w="2851"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上传区块链的托管数据量（万条）</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4万条</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6万条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p>
        </w:tc>
        <w:tc>
          <w:tcPr>
            <w:tcW w:w="2851" w:type="dxa"/>
            <w:noWrap w:val="0"/>
            <w:vAlign w:val="center"/>
          </w:tcPr>
          <w:p>
            <w:pPr>
              <w:keepNext w:val="0"/>
              <w:keepLines w:val="0"/>
              <w:pageBreakBefore w:val="0"/>
              <w:kinsoku/>
              <w:wordWrap/>
              <w:overflowPunct/>
              <w:topLinePunct w:val="0"/>
              <w:bidi w:val="0"/>
              <w:spacing w:line="360" w:lineRule="exact"/>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利用“非上市集中托管系统”金融科技手段，为企业提供股权托管服务次数（次）</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250次</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500次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p>
        </w:tc>
        <w:tc>
          <w:tcPr>
            <w:tcW w:w="2851"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利用“广东股交小程序”金融科技手段，为企业股东提供报价服务次数（次）</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100次</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p>
        </w:tc>
        <w:tc>
          <w:tcPr>
            <w:tcW w:w="2851"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利用“广东股交官方网站”金融科技手段，为区域市场参与方提供资讯服务次数（次）</w:t>
            </w:r>
          </w:p>
        </w:tc>
        <w:tc>
          <w:tcPr>
            <w:tcW w:w="138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900次</w:t>
            </w:r>
          </w:p>
        </w:tc>
        <w:tc>
          <w:tcPr>
            <w:tcW w:w="2169"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1800次</w:t>
            </w:r>
          </w:p>
        </w:tc>
      </w:tr>
    </w:tbl>
    <w:p>
      <w:pPr>
        <w:rPr>
          <w:rFonts w:hint="eastAsia"/>
          <w:sz w:val="21"/>
          <w:szCs w:val="24"/>
        </w:rPr>
      </w:pPr>
    </w:p>
    <w:p>
      <w:pPr>
        <w:ind w:left="0" w:leftChars="0" w:firstLine="0" w:firstLineChars="0"/>
        <w:rPr>
          <w:rFonts w:hint="eastAsia"/>
          <w:sz w:val="21"/>
          <w:szCs w:val="24"/>
        </w:rPr>
        <w:sectPr>
          <w:pgSz w:w="11906" w:h="16838"/>
          <w:pgMar w:top="1440" w:right="1440" w:bottom="1440" w:left="1440" w:header="851" w:footer="992" w:gutter="0"/>
          <w:pgNumType w:fmt="numberInDash"/>
          <w:cols w:space="720" w:num="1"/>
          <w:docGrid w:type="lines" w:linePitch="322" w:charSpace="0"/>
        </w:sectPr>
      </w:pPr>
    </w:p>
    <w:p>
      <w:pPr>
        <w:keepNext/>
        <w:keepLines/>
        <w:numPr>
          <w:ilvl w:val="0"/>
          <w:numId w:val="1"/>
        </w:numPr>
        <w:spacing w:before="0" w:beforeAutospacing="0" w:after="0" w:afterAutospacing="0" w:line="560" w:lineRule="exact"/>
        <w:ind w:leftChars="0"/>
        <w:jc w:val="left"/>
        <w:outlineLvl w:val="1"/>
        <w:rPr>
          <w:rFonts w:hint="eastAsia" w:eastAsia="仿宋_GB2312"/>
          <w:b/>
          <w:color w:val="000000"/>
          <w:kern w:val="0"/>
          <w:sz w:val="28"/>
          <w:szCs w:val="28"/>
        </w:rPr>
      </w:pPr>
      <w:r>
        <w:rPr>
          <w:rFonts w:hint="eastAsia" w:eastAsia="仿宋_GB2312"/>
          <w:b/>
          <w:color w:val="000000"/>
          <w:kern w:val="0"/>
          <w:sz w:val="28"/>
          <w:szCs w:val="28"/>
        </w:rPr>
        <w:t>普惠金融融资再担保保费补助项目绩效目标表</w:t>
      </w:r>
    </w:p>
    <w:tbl>
      <w:tblPr>
        <w:tblStyle w:val="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6"/>
        <w:gridCol w:w="1716"/>
        <w:gridCol w:w="2268"/>
        <w:gridCol w:w="184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27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申报单位</w:t>
            </w:r>
          </w:p>
        </w:tc>
        <w:tc>
          <w:tcPr>
            <w:tcW w:w="7795" w:type="dxa"/>
            <w:gridSpan w:val="4"/>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广东省融资再担保有限责任公司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27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支持金额</w:t>
            </w:r>
          </w:p>
        </w:tc>
        <w:tc>
          <w:tcPr>
            <w:tcW w:w="7795" w:type="dxa"/>
            <w:gridSpan w:val="4"/>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725.4万元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27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年度目标</w:t>
            </w:r>
          </w:p>
        </w:tc>
        <w:tc>
          <w:tcPr>
            <w:tcW w:w="7795" w:type="dxa"/>
            <w:gridSpan w:val="4"/>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1.广东再担保向国家融资担保基金报送再担保业务合作规模不低于160亿元。其中，合作融资担保机构支小支农担保金额占全部担保金额的比例不得低于80%，单户担保金额500万元及以下的占比不得低于50%。</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2.支持符合国家融资担保基金合作要求的小微企业（含个体工商户、小微企业主）、“三农”、创业创新和战略性新兴产业企业不少于13,000户次。</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3.接受发放普惠金融融资再担保保费补助专项资金的融资担保机构所报送的项目需全部符合国家融资担保基金要求。</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4.普惠金融融资再担保保费补助专项资金发放需按进度在约定时间发放，即按月度发放。</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5.接受发放普惠金融融资再担保保费补助专项资金的融资担保机构需提供不少于5%受支持企业户数的满意度回访表，回访满意度不得低于90%。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27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阶段目标</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（6月底前）</w:t>
            </w:r>
          </w:p>
        </w:tc>
        <w:tc>
          <w:tcPr>
            <w:tcW w:w="7795" w:type="dxa"/>
            <w:gridSpan w:val="4"/>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1.6月底前累计支出普惠金融融资再担保保费补助1,620万元。</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2.广东再担保向国家融资担保基金报送再担保业务合作规模不低于80亿元。其中，合作融资担保机构支小支农担保金额占全部担保金额的比例不得低于80%，单户担保金额500万元及以下的占比不得低于50%。</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3.支持符合国家融资担保基金合作要求的小微企业（含个体工商户、小微企业主）、“三农”、创业创新和战略性新兴产业企业不少于6,500户次。</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4.接受发放普惠金融融资再担保保费补助专项资金的融资担保机构所报送的项目需全部符合国家融资担保基金要求。</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5.接受发放普惠金融融资再担保保费补助专项资金的融资担保机构需提供不少于5%受支持企业户数的满意度回访表，回访满意度不得低于90%。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992" w:type="dxa"/>
            <w:gridSpan w:val="2"/>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目标</w:t>
            </w:r>
          </w:p>
        </w:tc>
        <w:tc>
          <w:tcPr>
            <w:tcW w:w="22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指标内容及口径</w:t>
            </w:r>
          </w:p>
        </w:tc>
        <w:tc>
          <w:tcPr>
            <w:tcW w:w="1843"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阶段目标</w:t>
            </w:r>
          </w:p>
        </w:tc>
        <w:tc>
          <w:tcPr>
            <w:tcW w:w="19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276"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产出</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指标</w:t>
            </w: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数量指标</w:t>
            </w:r>
          </w:p>
        </w:tc>
        <w:tc>
          <w:tcPr>
            <w:tcW w:w="22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支小支农担保金额占全部担保金额的比例，单户担保金额500万元及以下的占比。</w:t>
            </w:r>
          </w:p>
        </w:tc>
        <w:tc>
          <w:tcPr>
            <w:tcW w:w="1843"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分别不得低于80%和不得低于50%</w:t>
            </w:r>
          </w:p>
        </w:tc>
        <w:tc>
          <w:tcPr>
            <w:tcW w:w="19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分别不得低于80%和不得低于50%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质量指标</w:t>
            </w:r>
          </w:p>
        </w:tc>
        <w:tc>
          <w:tcPr>
            <w:tcW w:w="22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报送项目的质量</w:t>
            </w:r>
          </w:p>
        </w:tc>
        <w:tc>
          <w:tcPr>
            <w:tcW w:w="1843"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需全部符合国家融资担保基金的备案项目要求</w:t>
            </w:r>
          </w:p>
        </w:tc>
        <w:tc>
          <w:tcPr>
            <w:tcW w:w="19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需全部符合国家融资担保基金的备案项目要求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时效指标</w:t>
            </w:r>
          </w:p>
        </w:tc>
        <w:tc>
          <w:tcPr>
            <w:tcW w:w="22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普惠金融融资再担保保费补助专项资金需按进度在约定时间发放</w:t>
            </w:r>
          </w:p>
        </w:tc>
        <w:tc>
          <w:tcPr>
            <w:tcW w:w="1843"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按月发放</w:t>
            </w:r>
          </w:p>
        </w:tc>
        <w:tc>
          <w:tcPr>
            <w:tcW w:w="19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成本指标</w:t>
            </w:r>
          </w:p>
        </w:tc>
        <w:tc>
          <w:tcPr>
            <w:tcW w:w="22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按照资金使用计划执行</w:t>
            </w:r>
          </w:p>
        </w:tc>
        <w:tc>
          <w:tcPr>
            <w:tcW w:w="1843"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108" w:hanging="108" w:hangingChars="45"/>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支出50%</w:t>
            </w:r>
          </w:p>
        </w:tc>
        <w:tc>
          <w:tcPr>
            <w:tcW w:w="19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支出100%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276"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效益</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指标</w:t>
            </w: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经济效益</w:t>
            </w:r>
          </w:p>
        </w:tc>
        <w:tc>
          <w:tcPr>
            <w:tcW w:w="22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实现融资金额总量</w:t>
            </w:r>
          </w:p>
        </w:tc>
        <w:tc>
          <w:tcPr>
            <w:tcW w:w="1843"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不低于80亿元</w:t>
            </w:r>
          </w:p>
        </w:tc>
        <w:tc>
          <w:tcPr>
            <w:tcW w:w="19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不低于160亿元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社会效益</w:t>
            </w:r>
          </w:p>
        </w:tc>
        <w:tc>
          <w:tcPr>
            <w:tcW w:w="22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业务覆盖中小微企业数量</w:t>
            </w:r>
          </w:p>
        </w:tc>
        <w:tc>
          <w:tcPr>
            <w:tcW w:w="1843"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6,500户次</w:t>
            </w:r>
          </w:p>
        </w:tc>
        <w:tc>
          <w:tcPr>
            <w:tcW w:w="19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13,000户次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snapToGrid w:val="0"/>
                <w:kern w:val="0"/>
                <w:sz w:val="24"/>
                <w:szCs w:val="24"/>
              </w:rPr>
              <w:t>环境效益</w:t>
            </w:r>
          </w:p>
        </w:tc>
        <w:tc>
          <w:tcPr>
            <w:tcW w:w="22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843"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9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snapToGrid w:val="0"/>
                <w:kern w:val="0"/>
                <w:sz w:val="24"/>
                <w:szCs w:val="24"/>
              </w:rPr>
              <w:t>可持续发展</w:t>
            </w:r>
          </w:p>
        </w:tc>
        <w:tc>
          <w:tcPr>
            <w:tcW w:w="22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843"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96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276"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满意度</w:t>
            </w: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napToGrid w:val="0"/>
                <w:kern w:val="0"/>
                <w:sz w:val="24"/>
                <w:szCs w:val="24"/>
              </w:rPr>
            </w:pPr>
            <w:r>
              <w:rPr>
                <w:rFonts w:hint="eastAsia" w:eastAsia="仿宋_GB2312" w:cs="仿宋_GB2312"/>
                <w:snapToGrid w:val="0"/>
                <w:kern w:val="0"/>
                <w:sz w:val="24"/>
                <w:szCs w:val="24"/>
              </w:rPr>
              <w:t>服务对象数量</w:t>
            </w:r>
          </w:p>
        </w:tc>
        <w:tc>
          <w:tcPr>
            <w:tcW w:w="2268" w:type="dxa"/>
            <w:noWrap w:val="0"/>
            <w:vAlign w:val="top"/>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支持企业的数量</w:t>
            </w:r>
          </w:p>
        </w:tc>
        <w:tc>
          <w:tcPr>
            <w:tcW w:w="1843" w:type="dxa"/>
            <w:noWrap w:val="0"/>
            <w:vAlign w:val="top"/>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提供不少于5%受支持企业户数的满意度回访表</w:t>
            </w:r>
          </w:p>
        </w:tc>
        <w:tc>
          <w:tcPr>
            <w:tcW w:w="1968" w:type="dxa"/>
            <w:noWrap w:val="0"/>
            <w:vAlign w:val="top"/>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提供不少于5%受支持企业户数的满意度回访表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27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napToGrid w:val="0"/>
                <w:kern w:val="0"/>
                <w:sz w:val="24"/>
                <w:szCs w:val="24"/>
              </w:rPr>
            </w:pPr>
            <w:r>
              <w:rPr>
                <w:rFonts w:hint="eastAsia" w:eastAsia="仿宋_GB2312" w:cs="仿宋_GB2312"/>
                <w:snapToGrid w:val="0"/>
                <w:kern w:val="0"/>
                <w:sz w:val="24"/>
                <w:szCs w:val="24"/>
              </w:rPr>
              <w:t>满意度</w:t>
            </w:r>
          </w:p>
        </w:tc>
        <w:tc>
          <w:tcPr>
            <w:tcW w:w="2268" w:type="dxa"/>
            <w:noWrap w:val="0"/>
            <w:vAlign w:val="top"/>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支持企业的满意度</w:t>
            </w:r>
          </w:p>
        </w:tc>
        <w:tc>
          <w:tcPr>
            <w:tcW w:w="1843" w:type="dxa"/>
            <w:noWrap w:val="0"/>
            <w:vAlign w:val="top"/>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回访满意度不得低于90%。</w:t>
            </w:r>
          </w:p>
        </w:tc>
        <w:tc>
          <w:tcPr>
            <w:tcW w:w="1968" w:type="dxa"/>
            <w:noWrap w:val="0"/>
            <w:vAlign w:val="top"/>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回访满意度不得低于90%。</w:t>
            </w:r>
          </w:p>
        </w:tc>
      </w:tr>
    </w:tbl>
    <w:p>
      <w:pPr>
        <w:ind w:left="0" w:leftChars="0" w:firstLine="0" w:firstLineChars="0"/>
        <w:rPr>
          <w:rFonts w:hint="eastAsia"/>
          <w:sz w:val="21"/>
          <w:szCs w:val="24"/>
        </w:rPr>
        <w:sectPr>
          <w:pgSz w:w="11906" w:h="16838"/>
          <w:pgMar w:top="1440" w:right="1440" w:bottom="1440" w:left="1440" w:header="851" w:footer="992" w:gutter="0"/>
          <w:pgNumType w:fmt="numberInDash"/>
          <w:cols w:space="720" w:num="1"/>
          <w:docGrid w:type="lines" w:linePitch="322" w:charSpace="0"/>
        </w:sectPr>
      </w:pPr>
    </w:p>
    <w:p>
      <w:pPr>
        <w:keepNext/>
        <w:keepLines/>
        <w:numPr>
          <w:ilvl w:val="0"/>
          <w:numId w:val="0"/>
        </w:numPr>
        <w:spacing w:before="0" w:beforeAutospacing="0" w:after="0" w:afterAutospacing="0" w:line="560" w:lineRule="exact"/>
        <w:ind w:left="0" w:leftChars="0" w:firstLine="0"/>
        <w:jc w:val="left"/>
        <w:outlineLvl w:val="1"/>
        <w:rPr>
          <w:rFonts w:hint="eastAsia" w:eastAsia="仿宋_GB2312"/>
          <w:b/>
          <w:color w:val="000000"/>
          <w:kern w:val="0"/>
          <w:sz w:val="28"/>
          <w:szCs w:val="28"/>
        </w:rPr>
      </w:pPr>
      <w:r>
        <w:rPr>
          <w:rFonts w:hint="eastAsia" w:eastAsia="仿宋_GB2312"/>
          <w:b/>
          <w:color w:val="000000"/>
          <w:kern w:val="0"/>
          <w:sz w:val="28"/>
          <w:szCs w:val="28"/>
        </w:rPr>
        <w:t>5.新时代广东金融文化建设研究项目绩效目标表</w:t>
      </w:r>
    </w:p>
    <w:tbl>
      <w:tblPr>
        <w:tblStyle w:val="3"/>
        <w:tblW w:w="9398" w:type="dxa"/>
        <w:jc w:val="center"/>
        <w:tblLayout w:type="fixed"/>
        <w:tblCellMar>
          <w:top w:w="15" w:type="dxa"/>
          <w:left w:w="15" w:type="dxa"/>
          <w:bottom w:w="15" w:type="dxa"/>
          <w:right w:w="15" w:type="dxa"/>
        </w:tblCellMar>
      </w:tblPr>
      <w:tblGrid>
        <w:gridCol w:w="1276"/>
        <w:gridCol w:w="1716"/>
        <w:gridCol w:w="2960"/>
        <w:gridCol w:w="1764"/>
        <w:gridCol w:w="1682"/>
      </w:tblGrid>
      <w:tr>
        <w:tblPrEx>
          <w:tblCellMar>
            <w:top w:w="15" w:type="dxa"/>
            <w:left w:w="15" w:type="dxa"/>
            <w:bottom w:w="15" w:type="dxa"/>
            <w:right w:w="15" w:type="dxa"/>
          </w:tblCellMar>
        </w:tblPrEx>
        <w:trPr>
          <w:trHeight w:val="23"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申报单位</w:t>
            </w:r>
          </w:p>
        </w:tc>
        <w:tc>
          <w:tcPr>
            <w:tcW w:w="8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exact"/>
              <w:textAlignment w:val="auto"/>
              <w:rPr>
                <w:rFonts w:hint="eastAsia" w:eastAsia="仿宋_GB2312" w:cs="仿宋_GB2312"/>
                <w:sz w:val="24"/>
                <w:szCs w:val="24"/>
              </w:rPr>
            </w:pPr>
            <w:r>
              <w:rPr>
                <w:rFonts w:hint="eastAsia" w:eastAsia="仿宋_GB2312" w:cs="仿宋_GB2312"/>
                <w:sz w:val="24"/>
                <w:szCs w:val="24"/>
              </w:rPr>
              <w:t>广东省金融文化研究会</w:t>
            </w:r>
          </w:p>
        </w:tc>
      </w:tr>
      <w:tr>
        <w:tblPrEx>
          <w:tblCellMar>
            <w:top w:w="15" w:type="dxa"/>
            <w:left w:w="15" w:type="dxa"/>
            <w:bottom w:w="15" w:type="dxa"/>
            <w:right w:w="15" w:type="dxa"/>
          </w:tblCellMar>
        </w:tblPrEx>
        <w:trPr>
          <w:trHeight w:val="23"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支持金额</w:t>
            </w:r>
          </w:p>
        </w:tc>
        <w:tc>
          <w:tcPr>
            <w:tcW w:w="8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exact"/>
              <w:textAlignment w:val="auto"/>
              <w:rPr>
                <w:rFonts w:hint="eastAsia" w:eastAsia="仿宋_GB2312" w:cs="仿宋_GB2312"/>
                <w:sz w:val="24"/>
                <w:szCs w:val="24"/>
              </w:rPr>
            </w:pPr>
            <w:r>
              <w:rPr>
                <w:rFonts w:hint="eastAsia" w:eastAsia="仿宋_GB2312" w:cs="仿宋_GB2312"/>
                <w:sz w:val="24"/>
                <w:szCs w:val="24"/>
              </w:rPr>
              <w:t>100万元</w:t>
            </w:r>
          </w:p>
        </w:tc>
      </w:tr>
      <w:tr>
        <w:tblPrEx>
          <w:tblCellMar>
            <w:top w:w="15" w:type="dxa"/>
            <w:left w:w="15" w:type="dxa"/>
            <w:bottom w:w="15" w:type="dxa"/>
            <w:right w:w="15" w:type="dxa"/>
          </w:tblCellMar>
        </w:tblPrEx>
        <w:trPr>
          <w:trHeight w:val="23"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实施周期目标</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（2025年）</w:t>
            </w:r>
          </w:p>
        </w:tc>
        <w:tc>
          <w:tcPr>
            <w:tcW w:w="8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exact"/>
              <w:textAlignment w:val="auto"/>
              <w:rPr>
                <w:rFonts w:hint="eastAsia" w:eastAsia="仿宋_GB2312" w:cs="仿宋_GB2312"/>
                <w:sz w:val="24"/>
                <w:szCs w:val="24"/>
              </w:rPr>
            </w:pPr>
            <w:r>
              <w:rPr>
                <w:rFonts w:hint="eastAsia" w:eastAsia="仿宋_GB2312" w:cs="仿宋_GB2312"/>
                <w:sz w:val="24"/>
                <w:szCs w:val="24"/>
              </w:rPr>
              <w:t>1.完成《金融伦理学》编著、修改与出版社签订出版协议。</w:t>
            </w:r>
          </w:p>
          <w:p>
            <w:pPr>
              <w:keepNext w:val="0"/>
              <w:keepLines w:val="0"/>
              <w:pageBreakBefore w:val="0"/>
              <w:kinsoku/>
              <w:wordWrap/>
              <w:overflowPunct/>
              <w:topLinePunct w:val="0"/>
              <w:bidi w:val="0"/>
              <w:spacing w:line="360" w:lineRule="exact"/>
              <w:textAlignment w:val="auto"/>
              <w:rPr>
                <w:rFonts w:hint="eastAsia" w:eastAsia="仿宋_GB2312" w:cs="仿宋_GB2312"/>
                <w:sz w:val="24"/>
                <w:szCs w:val="24"/>
              </w:rPr>
            </w:pPr>
            <w:r>
              <w:rPr>
                <w:rFonts w:hint="eastAsia" w:eastAsia="仿宋_GB2312" w:cs="仿宋_GB2312"/>
                <w:sz w:val="24"/>
                <w:szCs w:val="24"/>
              </w:rPr>
              <w:t>2.完成《广东省金融文化建设实施意见》或发出《广东省金融文化建设倡议》，争取获得领导肯定性批示或主管部门采纳。</w:t>
            </w:r>
          </w:p>
          <w:p>
            <w:pPr>
              <w:keepNext w:val="0"/>
              <w:keepLines w:val="0"/>
              <w:pageBreakBefore w:val="0"/>
              <w:kinsoku/>
              <w:wordWrap/>
              <w:overflowPunct/>
              <w:topLinePunct w:val="0"/>
              <w:bidi w:val="0"/>
              <w:spacing w:line="360" w:lineRule="exact"/>
              <w:textAlignment w:val="auto"/>
              <w:rPr>
                <w:rFonts w:hint="eastAsia" w:eastAsia="仿宋_GB2312" w:cs="仿宋_GB2312"/>
                <w:color w:val="FF0000"/>
                <w:sz w:val="24"/>
                <w:szCs w:val="24"/>
              </w:rPr>
            </w:pPr>
            <w:r>
              <w:rPr>
                <w:rFonts w:hint="eastAsia" w:eastAsia="仿宋_GB2312" w:cs="仿宋_GB2312"/>
                <w:sz w:val="24"/>
                <w:szCs w:val="24"/>
              </w:rPr>
              <w:t>3.召开金融文化建设相关的论坛两次</w:t>
            </w:r>
          </w:p>
        </w:tc>
      </w:tr>
      <w:tr>
        <w:tblPrEx>
          <w:tblCellMar>
            <w:top w:w="15" w:type="dxa"/>
            <w:left w:w="15" w:type="dxa"/>
            <w:bottom w:w="15" w:type="dxa"/>
            <w:right w:w="15" w:type="dxa"/>
          </w:tblCellMar>
        </w:tblPrEx>
        <w:trPr>
          <w:trHeight w:val="23"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年度目标</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（2024年）</w:t>
            </w:r>
          </w:p>
        </w:tc>
        <w:tc>
          <w:tcPr>
            <w:tcW w:w="81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exact"/>
              <w:textAlignment w:val="auto"/>
              <w:rPr>
                <w:rFonts w:hint="eastAsia" w:eastAsia="仿宋_GB2312" w:cs="仿宋_GB2312"/>
                <w:sz w:val="24"/>
                <w:szCs w:val="24"/>
              </w:rPr>
            </w:pPr>
            <w:r>
              <w:rPr>
                <w:rFonts w:hint="eastAsia" w:eastAsia="仿宋_GB2312" w:cs="仿宋_GB2312"/>
                <w:sz w:val="24"/>
                <w:szCs w:val="24"/>
              </w:rPr>
              <w:t>1．开展广东省、地市金融监管部门、金融机构等的调研，完成《新时代广东省金融文化建设调研报告》的撰写</w:t>
            </w:r>
          </w:p>
          <w:p>
            <w:pPr>
              <w:keepNext w:val="0"/>
              <w:keepLines w:val="0"/>
              <w:pageBreakBefore w:val="0"/>
              <w:kinsoku/>
              <w:wordWrap/>
              <w:overflowPunct/>
              <w:topLinePunct w:val="0"/>
              <w:bidi w:val="0"/>
              <w:spacing w:line="360" w:lineRule="exact"/>
              <w:textAlignment w:val="auto"/>
              <w:rPr>
                <w:rFonts w:hint="eastAsia" w:eastAsia="仿宋_GB2312" w:cs="仿宋_GB2312"/>
                <w:sz w:val="24"/>
                <w:szCs w:val="24"/>
              </w:rPr>
            </w:pPr>
            <w:r>
              <w:rPr>
                <w:rFonts w:hint="eastAsia" w:eastAsia="仿宋_GB2312" w:cs="仿宋_GB2312"/>
                <w:sz w:val="24"/>
                <w:szCs w:val="24"/>
              </w:rPr>
              <w:t>2．完成《金融伦理学》提纲制定、资料收集整理及部分章节编著</w:t>
            </w:r>
          </w:p>
          <w:p>
            <w:pPr>
              <w:keepNext w:val="0"/>
              <w:keepLines w:val="0"/>
              <w:pageBreakBefore w:val="0"/>
              <w:kinsoku/>
              <w:wordWrap/>
              <w:overflowPunct/>
              <w:topLinePunct w:val="0"/>
              <w:bidi w:val="0"/>
              <w:spacing w:line="360" w:lineRule="exact"/>
              <w:textAlignment w:val="auto"/>
              <w:rPr>
                <w:rFonts w:hint="eastAsia" w:eastAsia="仿宋_GB2312" w:cs="仿宋_GB2312"/>
                <w:color w:val="FF0000"/>
                <w:sz w:val="24"/>
                <w:szCs w:val="24"/>
              </w:rPr>
            </w:pPr>
            <w:r>
              <w:rPr>
                <w:rFonts w:hint="eastAsia" w:eastAsia="仿宋_GB2312" w:cs="仿宋_GB2312"/>
                <w:sz w:val="24"/>
                <w:szCs w:val="24"/>
              </w:rPr>
              <w:t>3.召开金融文化建设相关的论坛一次</w:t>
            </w:r>
          </w:p>
        </w:tc>
      </w:tr>
      <w:tr>
        <w:tblPrEx>
          <w:tblCellMar>
            <w:top w:w="15" w:type="dxa"/>
            <w:left w:w="15" w:type="dxa"/>
            <w:bottom w:w="15" w:type="dxa"/>
            <w:right w:w="15" w:type="dxa"/>
          </w:tblCellMar>
        </w:tblPrEx>
        <w:trPr>
          <w:trHeight w:val="23"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目标</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指标内容及口径</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right="-250" w:rightChars="-78"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年度目标</w:t>
            </w:r>
          </w:p>
          <w:p>
            <w:pPr>
              <w:keepNext w:val="0"/>
              <w:keepLines w:val="0"/>
              <w:pageBreakBefore w:val="0"/>
              <w:kinsoku/>
              <w:wordWrap/>
              <w:overflowPunct/>
              <w:topLinePunct w:val="0"/>
              <w:autoSpaceDE w:val="0"/>
              <w:autoSpaceDN w:val="0"/>
              <w:bidi w:val="0"/>
              <w:adjustRightInd w:val="0"/>
              <w:snapToGrid w:val="0"/>
              <w:spacing w:line="360" w:lineRule="exact"/>
              <w:ind w:right="-250" w:rightChars="-78"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（2024年）</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实施周期目标（2025年）</w:t>
            </w:r>
          </w:p>
        </w:tc>
      </w:tr>
      <w:tr>
        <w:tblPrEx>
          <w:tblCellMar>
            <w:top w:w="15" w:type="dxa"/>
            <w:left w:w="15" w:type="dxa"/>
            <w:bottom w:w="15" w:type="dxa"/>
            <w:right w:w="15" w:type="dxa"/>
          </w:tblCellMar>
        </w:tblPrEx>
        <w:trPr>
          <w:trHeight w:val="23"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产出</w:t>
            </w:r>
          </w:p>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指标</w:t>
            </w:r>
          </w:p>
        </w:tc>
        <w:tc>
          <w:tcPr>
            <w:tcW w:w="1716"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数量指标</w:t>
            </w:r>
          </w:p>
        </w:tc>
        <w:tc>
          <w:tcPr>
            <w:tcW w:w="296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编制《新时代广东省金融文化建设研究报告》份数（份）</w:t>
            </w:r>
          </w:p>
        </w:tc>
        <w:tc>
          <w:tcPr>
            <w:tcW w:w="1764"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w:t>
            </w:r>
          </w:p>
        </w:tc>
      </w:tr>
      <w:tr>
        <w:tblPrEx>
          <w:tblCellMar>
            <w:top w:w="15" w:type="dxa"/>
            <w:left w:w="15" w:type="dxa"/>
            <w:bottom w:w="15" w:type="dxa"/>
            <w:right w:w="15" w:type="dxa"/>
          </w:tblCellMar>
        </w:tblPrEx>
        <w:trPr>
          <w:trHeight w:val="23"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296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编制《金融伦理学》教材或专著进度</w:t>
            </w:r>
          </w:p>
        </w:tc>
        <w:tc>
          <w:tcPr>
            <w:tcW w:w="1764"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80%</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100%</w:t>
            </w:r>
          </w:p>
        </w:tc>
      </w:tr>
      <w:tr>
        <w:tblPrEx>
          <w:tblCellMar>
            <w:top w:w="15" w:type="dxa"/>
            <w:left w:w="15" w:type="dxa"/>
            <w:bottom w:w="15" w:type="dxa"/>
            <w:right w:w="15" w:type="dxa"/>
          </w:tblCellMar>
        </w:tblPrEx>
        <w:trPr>
          <w:trHeight w:val="23"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2960" w:type="dxa"/>
            <w:tcBorders>
              <w:top w:val="single" w:color="000000"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举办相关金融文化建设相关论坛次数（次）</w:t>
            </w:r>
          </w:p>
        </w:tc>
        <w:tc>
          <w:tcPr>
            <w:tcW w:w="1764" w:type="dxa"/>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2</w:t>
            </w:r>
          </w:p>
        </w:tc>
      </w:tr>
      <w:tr>
        <w:tblPrEx>
          <w:tblCellMar>
            <w:top w:w="15" w:type="dxa"/>
            <w:left w:w="15" w:type="dxa"/>
            <w:bottom w:w="15" w:type="dxa"/>
            <w:right w:w="15" w:type="dxa"/>
          </w:tblCellMar>
        </w:tblPrEx>
        <w:trPr>
          <w:trHeight w:val="23"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质量指标</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《金融伦理学》教材或专著出版质量</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在全国百佳图书出版社出版，15万字以上</w:t>
            </w:r>
          </w:p>
        </w:tc>
      </w:tr>
      <w:tr>
        <w:tblPrEx>
          <w:tblCellMar>
            <w:top w:w="15" w:type="dxa"/>
            <w:left w:w="15" w:type="dxa"/>
            <w:bottom w:w="15" w:type="dxa"/>
            <w:right w:w="15" w:type="dxa"/>
          </w:tblCellMar>
        </w:tblPrEx>
        <w:trPr>
          <w:trHeight w:val="23"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2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《广东省金融文化建设调研报告》编制质量</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8-10万字</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8-10万字</w:t>
            </w:r>
          </w:p>
        </w:tc>
      </w:tr>
      <w:tr>
        <w:tblPrEx>
          <w:tblCellMar>
            <w:top w:w="15" w:type="dxa"/>
            <w:left w:w="15" w:type="dxa"/>
            <w:bottom w:w="15" w:type="dxa"/>
            <w:right w:w="15" w:type="dxa"/>
          </w:tblCellMar>
        </w:tblPrEx>
        <w:trPr>
          <w:trHeight w:val="23" w:hRule="atLeast"/>
          <w:jc w:val="center"/>
        </w:trPr>
        <w:tc>
          <w:tcPr>
            <w:tcW w:w="12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效益指标</w:t>
            </w:r>
          </w:p>
        </w:tc>
        <w:tc>
          <w:tcPr>
            <w:tcW w:w="17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社会效益</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研究报告获上级领导批示（次）（反映上级领导对课题研究成果的批示圈阅情况）</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w:t>
            </w:r>
          </w:p>
        </w:tc>
        <w:tc>
          <w:tcPr>
            <w:tcW w:w="168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1-2</w:t>
            </w:r>
          </w:p>
        </w:tc>
      </w:tr>
      <w:tr>
        <w:tblPrEx>
          <w:tblCellMar>
            <w:top w:w="15" w:type="dxa"/>
            <w:left w:w="15" w:type="dxa"/>
            <w:bottom w:w="15" w:type="dxa"/>
            <w:right w:w="15" w:type="dxa"/>
          </w:tblCellMar>
        </w:tblPrEx>
        <w:trPr>
          <w:trHeight w:val="23" w:hRule="atLeast"/>
          <w:jc w:val="center"/>
        </w:trPr>
        <w:tc>
          <w:tcPr>
            <w:tcW w:w="12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p>
        </w:tc>
        <w:tc>
          <w:tcPr>
            <w:tcW w:w="2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刊发报道次数（次）（反映课题成果刊发、报道情况）</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w:t>
            </w:r>
          </w:p>
        </w:tc>
        <w:tc>
          <w:tcPr>
            <w:tcW w:w="168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1-2</w:t>
            </w:r>
          </w:p>
        </w:tc>
      </w:tr>
      <w:tr>
        <w:tblPrEx>
          <w:tblCellMar>
            <w:top w:w="15" w:type="dxa"/>
            <w:left w:w="15" w:type="dxa"/>
            <w:bottom w:w="15" w:type="dxa"/>
            <w:right w:w="15" w:type="dxa"/>
          </w:tblCellMar>
        </w:tblPrEx>
        <w:trPr>
          <w:trHeight w:val="23" w:hRule="atLeast"/>
          <w:jc w:val="center"/>
        </w:trPr>
        <w:tc>
          <w:tcPr>
            <w:tcW w:w="12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p>
        </w:tc>
        <w:tc>
          <w:tcPr>
            <w:tcW w:w="2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金融文化论坛参会人次</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线下参会人数约200人，直播线上约1万人</w:t>
            </w:r>
          </w:p>
        </w:tc>
        <w:tc>
          <w:tcPr>
            <w:tcW w:w="168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线下参会人数约400人，直播线上约2万人</w:t>
            </w:r>
          </w:p>
        </w:tc>
      </w:tr>
      <w:tr>
        <w:tblPrEx>
          <w:tblCellMar>
            <w:top w:w="15" w:type="dxa"/>
            <w:left w:w="15" w:type="dxa"/>
            <w:bottom w:w="15" w:type="dxa"/>
            <w:right w:w="15" w:type="dxa"/>
          </w:tblCellMar>
        </w:tblPrEx>
        <w:trPr>
          <w:trHeight w:val="23" w:hRule="atLeast"/>
          <w:jc w:val="center"/>
        </w:trPr>
        <w:tc>
          <w:tcPr>
            <w:tcW w:w="12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bCs/>
                <w:snapToGrid w:val="0"/>
                <w:kern w:val="0"/>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eastAsia="仿宋_GB2312" w:cs="仿宋_GB2312"/>
                <w:sz w:val="24"/>
                <w:szCs w:val="24"/>
              </w:rPr>
            </w:pPr>
            <w:r>
              <w:rPr>
                <w:rFonts w:hint="eastAsia" w:eastAsia="仿宋_GB2312" w:cs="仿宋_GB2312"/>
                <w:sz w:val="24"/>
                <w:szCs w:val="24"/>
              </w:rPr>
              <w:t>满意度指标</w:t>
            </w:r>
          </w:p>
        </w:tc>
        <w:tc>
          <w:tcPr>
            <w:tcW w:w="2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服务对象满意度</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不低于90%</w:t>
            </w:r>
          </w:p>
        </w:tc>
        <w:tc>
          <w:tcPr>
            <w:tcW w:w="168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firstLine="0" w:firstLineChars="0"/>
              <w:textAlignment w:val="auto"/>
              <w:rPr>
                <w:rFonts w:hint="eastAsia" w:eastAsia="仿宋_GB2312" w:cs="仿宋_GB2312"/>
                <w:bCs/>
                <w:snapToGrid w:val="0"/>
                <w:kern w:val="0"/>
                <w:sz w:val="24"/>
                <w:szCs w:val="24"/>
              </w:rPr>
            </w:pPr>
            <w:r>
              <w:rPr>
                <w:rFonts w:hint="eastAsia" w:eastAsia="仿宋_GB2312" w:cs="仿宋_GB2312"/>
                <w:bCs/>
                <w:snapToGrid w:val="0"/>
                <w:kern w:val="0"/>
                <w:sz w:val="24"/>
                <w:szCs w:val="24"/>
              </w:rPr>
              <w:t>不低于90%</w:t>
            </w:r>
          </w:p>
        </w:tc>
      </w:tr>
    </w:tbl>
    <w:p>
      <w:pPr>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60" w:lineRule="exact"/>
        <w:ind w:left="0" w:leftChars="0" w:firstLine="0"/>
        <w:jc w:val="left"/>
        <w:textAlignment w:val="auto"/>
        <w:outlineLvl w:val="9"/>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（注：第6-11为省委金融办信息化项目，绩效目标对照立项申报书和相关批复确定实施）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1E860"/>
    <w:multiLevelType w:val="singleLevel"/>
    <w:tmpl w:val="8E81E86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01327"/>
    <w:rsid w:val="46A01327"/>
    <w:rsid w:val="6AF0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cs="Times New Roman"/>
      <w:b/>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2024-03-12T10:08:00Z</dcterms:created>
  <dc:creator>jjliuyh</dc:creator>
  <cp:lastModifiedBy>jjliuyh</cp:lastModifiedBy>
  <dcterms:modified xsi:type="dcterms:W3CDTF">2024-03-12T10:09:11Z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6BBB1867022A45F1837AD9CED8C92D16</vt:lpwstr>
  </property>
</Properties>
</file>